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A35" w:rsidRDefault="00AA2A35" w:rsidP="00AA2A35">
      <w:pPr>
        <w:keepNext/>
        <w:tabs>
          <w:tab w:val="left" w:pos="360"/>
          <w:tab w:val="left" w:pos="720"/>
          <w:tab w:val="left" w:pos="2160"/>
        </w:tabs>
        <w:rPr>
          <w:b/>
          <w:sz w:val="24"/>
        </w:rPr>
      </w:pPr>
      <w:bookmarkStart w:id="0" w:name="a13410"/>
      <w:r w:rsidRPr="009E6E84">
        <w:rPr>
          <w:b/>
          <w:sz w:val="24"/>
        </w:rPr>
        <w:t>Rule 134.10.  Audio and Video Coverage of Appellate Court Proceedings</w:t>
      </w:r>
    </w:p>
    <w:bookmarkEnd w:id="0"/>
    <w:p w:rsidR="00AA2A35" w:rsidRPr="009E6E84" w:rsidRDefault="00AA2A35" w:rsidP="00AA2A35">
      <w:pPr>
        <w:keepNext/>
        <w:tabs>
          <w:tab w:val="left" w:pos="360"/>
          <w:tab w:val="left" w:pos="720"/>
          <w:tab w:val="left" w:pos="2160"/>
        </w:tabs>
        <w:rPr>
          <w:b/>
          <w:sz w:val="24"/>
        </w:rPr>
      </w:pPr>
    </w:p>
    <w:p w:rsidR="00AA2A35" w:rsidRDefault="00AA2A35" w:rsidP="00AA2A35">
      <w:pPr>
        <w:pStyle w:val="MaslonTxDb5L"/>
        <w:tabs>
          <w:tab w:val="left" w:pos="360"/>
        </w:tabs>
        <w:spacing w:line="240" w:lineRule="auto"/>
        <w:ind w:firstLine="0"/>
        <w:jc w:val="both"/>
        <w:rPr>
          <w:sz w:val="24"/>
        </w:rPr>
      </w:pPr>
      <w:r>
        <w:rPr>
          <w:sz w:val="24"/>
        </w:rPr>
        <w:tab/>
      </w:r>
      <w:r w:rsidRPr="009E6E84">
        <w:rPr>
          <w:b/>
          <w:sz w:val="24"/>
        </w:rPr>
        <w:t>Subdivision 1.</w:t>
      </w:r>
      <w:r w:rsidRPr="009E6E84">
        <w:rPr>
          <w:sz w:val="24"/>
        </w:rPr>
        <w:t xml:space="preserve">  Unless notice is waived by the Chief Justice of the Supreme Court or the Chief Judge of the Court of Appeals, notice of intent to cover appellate court proceedings by either audio or video</w:t>
      </w:r>
      <w:bookmarkStart w:id="1" w:name="SR;5552"/>
      <w:bookmarkEnd w:id="1"/>
      <w:r w:rsidRPr="009E6E84">
        <w:rPr>
          <w:sz w:val="24"/>
        </w:rPr>
        <w:t xml:space="preserve"> means shall be given by the media to the Clerk of the Appellate Courts at least 24 hours prior to the time of the intended coverage.</w:t>
      </w:r>
      <w:bookmarkStart w:id="2" w:name="SDU_30"/>
      <w:bookmarkEnd w:id="2"/>
    </w:p>
    <w:p w:rsidR="00AA2A35" w:rsidRDefault="00AA2A35" w:rsidP="00AA2A35">
      <w:pPr>
        <w:pStyle w:val="MaslonTxDb5L"/>
        <w:tabs>
          <w:tab w:val="left" w:pos="360"/>
        </w:tabs>
        <w:spacing w:line="240" w:lineRule="auto"/>
        <w:ind w:firstLine="0"/>
        <w:jc w:val="both"/>
        <w:rPr>
          <w:sz w:val="24"/>
        </w:rPr>
      </w:pPr>
    </w:p>
    <w:p w:rsidR="00AA2A35" w:rsidRDefault="00AA2A35" w:rsidP="00AA2A35">
      <w:pPr>
        <w:pStyle w:val="MaslonTxDb5L"/>
        <w:tabs>
          <w:tab w:val="left" w:pos="360"/>
        </w:tabs>
        <w:spacing w:line="240" w:lineRule="auto"/>
        <w:ind w:firstLine="0"/>
        <w:jc w:val="both"/>
        <w:rPr>
          <w:sz w:val="24"/>
        </w:rPr>
      </w:pPr>
      <w:r>
        <w:rPr>
          <w:sz w:val="24"/>
        </w:rPr>
        <w:tab/>
      </w:r>
      <w:proofErr w:type="spellStart"/>
      <w:r w:rsidRPr="009E6E84">
        <w:rPr>
          <w:b/>
          <w:sz w:val="24"/>
        </w:rPr>
        <w:t>Subd</w:t>
      </w:r>
      <w:proofErr w:type="spellEnd"/>
      <w:r w:rsidRPr="009E6E84">
        <w:rPr>
          <w:b/>
          <w:sz w:val="24"/>
        </w:rPr>
        <w:t>. 2.</w:t>
      </w:r>
      <w:r w:rsidRPr="009E6E84">
        <w:rPr>
          <w:sz w:val="24"/>
        </w:rPr>
        <w:t xml:space="preserve">  Camera operators, technicians, and photographers covering a proceeding must:</w:t>
      </w:r>
    </w:p>
    <w:p w:rsidR="00AA2A35" w:rsidRPr="009E6E84" w:rsidRDefault="00AA2A35" w:rsidP="00AA2A35">
      <w:pPr>
        <w:pStyle w:val="MaslonTxDb5L"/>
        <w:tabs>
          <w:tab w:val="left" w:pos="360"/>
        </w:tabs>
        <w:spacing w:line="240" w:lineRule="auto"/>
        <w:ind w:firstLine="0"/>
        <w:jc w:val="both"/>
        <w:rPr>
          <w:sz w:val="24"/>
        </w:rPr>
      </w:pPr>
      <w:r>
        <w:rPr>
          <w:sz w:val="24"/>
        </w:rPr>
        <w:tab/>
      </w:r>
    </w:p>
    <w:p w:rsidR="00AA2A35" w:rsidRPr="009E6E84" w:rsidRDefault="00AA2A35" w:rsidP="00AA2A35">
      <w:pPr>
        <w:pStyle w:val="MaslonTxDb5L"/>
        <w:tabs>
          <w:tab w:val="left" w:pos="360"/>
        </w:tabs>
        <w:spacing w:line="240" w:lineRule="auto"/>
        <w:ind w:firstLine="0"/>
        <w:jc w:val="both"/>
        <w:rPr>
          <w:sz w:val="24"/>
        </w:rPr>
      </w:pPr>
      <w:r>
        <w:rPr>
          <w:sz w:val="24"/>
        </w:rPr>
        <w:tab/>
        <w:t xml:space="preserve">(a)  </w:t>
      </w:r>
      <w:r w:rsidRPr="009E6E84">
        <w:rPr>
          <w:sz w:val="24"/>
        </w:rPr>
        <w:t xml:space="preserve">avoid activity which might distract participants or impair the dignity of the proceedings; </w:t>
      </w:r>
    </w:p>
    <w:p w:rsidR="00AA2A35" w:rsidRPr="009E6E84" w:rsidRDefault="00AA2A35" w:rsidP="00AA2A35">
      <w:pPr>
        <w:pStyle w:val="MaslonTxDb5L"/>
        <w:tabs>
          <w:tab w:val="left" w:pos="360"/>
        </w:tabs>
        <w:spacing w:line="240" w:lineRule="auto"/>
        <w:ind w:firstLine="0"/>
        <w:jc w:val="both"/>
        <w:rPr>
          <w:sz w:val="24"/>
        </w:rPr>
      </w:pPr>
      <w:r>
        <w:rPr>
          <w:sz w:val="24"/>
        </w:rPr>
        <w:tab/>
        <w:t xml:space="preserve">(b)  </w:t>
      </w:r>
      <w:r w:rsidRPr="009E6E84">
        <w:rPr>
          <w:sz w:val="24"/>
        </w:rPr>
        <w:t xml:space="preserve">remain seated within the restricted areas designated by the Court; </w:t>
      </w:r>
    </w:p>
    <w:p w:rsidR="00AA2A35" w:rsidRPr="009E6E84" w:rsidRDefault="00AA2A35" w:rsidP="00AA2A35">
      <w:pPr>
        <w:pStyle w:val="MaslonTxDb5L"/>
        <w:tabs>
          <w:tab w:val="left" w:pos="360"/>
        </w:tabs>
        <w:spacing w:line="240" w:lineRule="auto"/>
        <w:ind w:firstLine="0"/>
        <w:jc w:val="both"/>
        <w:rPr>
          <w:sz w:val="24"/>
        </w:rPr>
      </w:pPr>
      <w:r>
        <w:rPr>
          <w:sz w:val="24"/>
        </w:rPr>
        <w:tab/>
        <w:t xml:space="preserve">(c)  </w:t>
      </w:r>
      <w:r w:rsidRPr="009E6E84">
        <w:rPr>
          <w:sz w:val="24"/>
        </w:rPr>
        <w:t xml:space="preserve">observe the customs of the Court; </w:t>
      </w:r>
    </w:p>
    <w:p w:rsidR="00AA2A35" w:rsidRPr="009E6E84" w:rsidRDefault="00AA2A35" w:rsidP="00AA2A35">
      <w:pPr>
        <w:pStyle w:val="MaslonTxDb5L"/>
        <w:tabs>
          <w:tab w:val="left" w:pos="360"/>
        </w:tabs>
        <w:spacing w:line="240" w:lineRule="auto"/>
        <w:ind w:firstLine="0"/>
        <w:jc w:val="both"/>
        <w:rPr>
          <w:sz w:val="24"/>
        </w:rPr>
      </w:pPr>
      <w:r>
        <w:rPr>
          <w:sz w:val="24"/>
        </w:rPr>
        <w:tab/>
        <w:t xml:space="preserve">(d)  </w:t>
      </w:r>
      <w:r w:rsidRPr="009E6E84">
        <w:rPr>
          <w:sz w:val="24"/>
        </w:rPr>
        <w:t>conduct</w:t>
      </w:r>
      <w:bookmarkStart w:id="3" w:name="SR;5621"/>
      <w:bookmarkEnd w:id="3"/>
      <w:r w:rsidRPr="009E6E84">
        <w:rPr>
          <w:sz w:val="24"/>
        </w:rPr>
        <w:t xml:space="preserve"> themselves in keeping with courtroom decorum; and </w:t>
      </w:r>
    </w:p>
    <w:p w:rsidR="00AA2A35" w:rsidRDefault="00AA2A35" w:rsidP="00AA2A35">
      <w:pPr>
        <w:pStyle w:val="MaslonTxDb5L"/>
        <w:tabs>
          <w:tab w:val="left" w:pos="360"/>
        </w:tabs>
        <w:spacing w:line="240" w:lineRule="auto"/>
        <w:ind w:firstLine="0"/>
        <w:jc w:val="both"/>
        <w:rPr>
          <w:sz w:val="24"/>
        </w:rPr>
      </w:pPr>
      <w:r>
        <w:rPr>
          <w:sz w:val="24"/>
        </w:rPr>
        <w:tab/>
        <w:t xml:space="preserve">(e)  </w:t>
      </w:r>
      <w:r w:rsidRPr="009E6E84">
        <w:rPr>
          <w:sz w:val="24"/>
        </w:rPr>
        <w:t>not dress in a manner that sets them apart unduly from the participants in the proceeding.</w:t>
      </w:r>
    </w:p>
    <w:p w:rsidR="00AA2A35" w:rsidRPr="009E6E84" w:rsidRDefault="00AA2A35" w:rsidP="00AA2A35">
      <w:pPr>
        <w:pStyle w:val="MaslonTxDb5L"/>
        <w:tabs>
          <w:tab w:val="left" w:pos="360"/>
        </w:tabs>
        <w:spacing w:line="240" w:lineRule="auto"/>
        <w:ind w:firstLine="0"/>
        <w:jc w:val="both"/>
        <w:rPr>
          <w:sz w:val="24"/>
        </w:rPr>
      </w:pPr>
    </w:p>
    <w:p w:rsidR="00AA2A35" w:rsidRDefault="00AA2A35" w:rsidP="00AA2A35">
      <w:pPr>
        <w:pStyle w:val="MaslonTxDb5L"/>
        <w:tabs>
          <w:tab w:val="left" w:pos="360"/>
        </w:tabs>
        <w:spacing w:line="240" w:lineRule="auto"/>
        <w:ind w:firstLine="0"/>
        <w:jc w:val="both"/>
        <w:rPr>
          <w:sz w:val="24"/>
        </w:rPr>
      </w:pPr>
      <w:r>
        <w:rPr>
          <w:sz w:val="24"/>
        </w:rPr>
        <w:tab/>
      </w:r>
      <w:proofErr w:type="spellStart"/>
      <w:r w:rsidRPr="009E6E84">
        <w:rPr>
          <w:b/>
          <w:sz w:val="24"/>
        </w:rPr>
        <w:t>Subd</w:t>
      </w:r>
      <w:proofErr w:type="spellEnd"/>
      <w:r w:rsidRPr="009E6E84">
        <w:rPr>
          <w:b/>
          <w:sz w:val="24"/>
        </w:rPr>
        <w:t>. 3.</w:t>
      </w:r>
      <w:r w:rsidRPr="009E6E84">
        <w:rPr>
          <w:sz w:val="24"/>
        </w:rPr>
        <w:t xml:space="preserve">  All broadcast and photographic coverage shall be on a pool basis, the arrangements for which must be made by the pooling parties in advance of the hearing.  Not more than one (1) electronic news gathering camera producing the single video</w:t>
      </w:r>
      <w:bookmarkStart w:id="4" w:name="SR;5686"/>
      <w:bookmarkEnd w:id="4"/>
      <w:r w:rsidRPr="009E6E84">
        <w:rPr>
          <w:sz w:val="24"/>
        </w:rPr>
        <w:t xml:space="preserve"> pool-feed shall be permitted in the courtroom. Not more than two (2) still-photographic cameras shall be permitted in the courtroom at any one time. Motor-driven still cameras may not be used.</w:t>
      </w:r>
    </w:p>
    <w:p w:rsidR="00AA2A35" w:rsidRDefault="00AA2A35" w:rsidP="00AA2A35">
      <w:pPr>
        <w:pStyle w:val="MaslonTxDb5L"/>
        <w:tabs>
          <w:tab w:val="left" w:pos="360"/>
        </w:tabs>
        <w:spacing w:line="240" w:lineRule="auto"/>
        <w:ind w:firstLine="0"/>
        <w:jc w:val="both"/>
        <w:rPr>
          <w:sz w:val="24"/>
        </w:rPr>
      </w:pPr>
    </w:p>
    <w:p w:rsidR="00AA2A35" w:rsidRDefault="00AA2A35" w:rsidP="00AA2A35">
      <w:pPr>
        <w:pStyle w:val="MaslonTxDb5L"/>
        <w:tabs>
          <w:tab w:val="left" w:pos="360"/>
        </w:tabs>
        <w:spacing w:line="240" w:lineRule="auto"/>
        <w:ind w:firstLine="0"/>
        <w:jc w:val="both"/>
        <w:rPr>
          <w:sz w:val="24"/>
        </w:rPr>
      </w:pPr>
      <w:r>
        <w:rPr>
          <w:sz w:val="24"/>
        </w:rPr>
        <w:tab/>
      </w:r>
      <w:proofErr w:type="spellStart"/>
      <w:r w:rsidRPr="009E6E84">
        <w:rPr>
          <w:b/>
          <w:sz w:val="24"/>
        </w:rPr>
        <w:t>Subd</w:t>
      </w:r>
      <w:proofErr w:type="spellEnd"/>
      <w:r w:rsidRPr="009E6E84">
        <w:rPr>
          <w:b/>
          <w:sz w:val="24"/>
        </w:rPr>
        <w:t>. 4.</w:t>
      </w:r>
      <w:r w:rsidRPr="009E6E84">
        <w:rPr>
          <w:sz w:val="24"/>
        </w:rPr>
        <w:t xml:space="preserve">  Exact locations for all camera and audio equipment within the courtroom shall be determined by the Court. All equipment must be in place and tested 15 minutes in advance of the time the Court is called to order and must be unobtrusive. All wiring, until made permanent, must be safely and securely taped to the floor along the walls.</w:t>
      </w:r>
      <w:bookmarkStart w:id="5" w:name="SDU_31"/>
      <w:bookmarkEnd w:id="5"/>
    </w:p>
    <w:p w:rsidR="00AA2A35" w:rsidRPr="009E6E84" w:rsidRDefault="00AA2A35" w:rsidP="00AA2A35">
      <w:pPr>
        <w:pStyle w:val="MaslonTxDb5L"/>
        <w:tabs>
          <w:tab w:val="left" w:pos="360"/>
        </w:tabs>
        <w:spacing w:line="240" w:lineRule="auto"/>
        <w:ind w:firstLine="0"/>
        <w:jc w:val="both"/>
        <w:rPr>
          <w:sz w:val="24"/>
        </w:rPr>
      </w:pPr>
    </w:p>
    <w:p w:rsidR="00AA2A35" w:rsidRDefault="00AA2A35" w:rsidP="00AA2A35">
      <w:pPr>
        <w:pStyle w:val="MaslonTxDb5L"/>
        <w:tabs>
          <w:tab w:val="left" w:pos="360"/>
        </w:tabs>
        <w:spacing w:line="240" w:lineRule="auto"/>
        <w:ind w:firstLine="0"/>
        <w:rPr>
          <w:sz w:val="24"/>
        </w:rPr>
      </w:pPr>
      <w:r>
        <w:rPr>
          <w:sz w:val="24"/>
        </w:rPr>
        <w:tab/>
      </w:r>
      <w:proofErr w:type="spellStart"/>
      <w:r w:rsidRPr="009E6E84">
        <w:rPr>
          <w:b/>
          <w:sz w:val="24"/>
        </w:rPr>
        <w:t>Subd</w:t>
      </w:r>
      <w:proofErr w:type="spellEnd"/>
      <w:r w:rsidRPr="009E6E84">
        <w:rPr>
          <w:b/>
          <w:sz w:val="24"/>
        </w:rPr>
        <w:t>. 5.</w:t>
      </w:r>
      <w:r w:rsidRPr="009E6E84">
        <w:rPr>
          <w:sz w:val="24"/>
        </w:rPr>
        <w:t xml:space="preserve">  Only existing courtroom lighting may be used.</w:t>
      </w:r>
    </w:p>
    <w:p w:rsidR="00AA2A35" w:rsidRDefault="00AA2A35" w:rsidP="00AA2A35">
      <w:pPr>
        <w:pStyle w:val="MaslonTxDb5L"/>
        <w:tabs>
          <w:tab w:val="left" w:pos="360"/>
        </w:tabs>
        <w:spacing w:line="240" w:lineRule="auto"/>
        <w:ind w:firstLine="0"/>
        <w:rPr>
          <w:sz w:val="24"/>
        </w:rPr>
      </w:pPr>
    </w:p>
    <w:p w:rsidR="00AA2A35" w:rsidRDefault="00AA2A35" w:rsidP="00AA2A35">
      <w:pPr>
        <w:pStyle w:val="Preformatted"/>
        <w:tabs>
          <w:tab w:val="clear" w:pos="959"/>
          <w:tab w:val="clear" w:pos="1918"/>
          <w:tab w:val="clear" w:pos="2877"/>
          <w:tab w:val="left" w:pos="360"/>
          <w:tab w:val="left" w:pos="720"/>
          <w:tab w:val="left" w:pos="2160"/>
        </w:tabs>
        <w:jc w:val="both"/>
        <w:rPr>
          <w:rFonts w:ascii="Times New Roman" w:hAnsi="Times New Roman"/>
          <w:sz w:val="24"/>
        </w:rPr>
      </w:pPr>
      <w:r>
        <w:rPr>
          <w:rFonts w:ascii="Times New Roman" w:hAnsi="Times New Roman"/>
          <w:sz w:val="24"/>
        </w:rPr>
        <w:tab/>
        <w:t>(Adopted effective July 1, 2011.)</w:t>
      </w:r>
    </w:p>
    <w:p w:rsidR="00D80CE9" w:rsidRDefault="00D80CE9"/>
    <w:sectPr w:rsidR="00D80CE9" w:rsidSect="00D80C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A2A35"/>
    <w:rsid w:val="00296FCF"/>
    <w:rsid w:val="003434CB"/>
    <w:rsid w:val="00416955"/>
    <w:rsid w:val="004530D0"/>
    <w:rsid w:val="00526F9E"/>
    <w:rsid w:val="006406EE"/>
    <w:rsid w:val="00682AD5"/>
    <w:rsid w:val="00727C0C"/>
    <w:rsid w:val="008B13FB"/>
    <w:rsid w:val="009373F6"/>
    <w:rsid w:val="009C7763"/>
    <w:rsid w:val="00A96A77"/>
    <w:rsid w:val="00AA2314"/>
    <w:rsid w:val="00AA2A35"/>
    <w:rsid w:val="00AD113D"/>
    <w:rsid w:val="00B34FCC"/>
    <w:rsid w:val="00BD4962"/>
    <w:rsid w:val="00C94BA4"/>
    <w:rsid w:val="00CE1789"/>
    <w:rsid w:val="00D80CE9"/>
    <w:rsid w:val="00DA5868"/>
    <w:rsid w:val="00F06E2F"/>
    <w:rsid w:val="00F52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A35"/>
    <w:pPr>
      <w:spacing w:after="0" w:line="240" w:lineRule="auto"/>
      <w:jc w:val="both"/>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rsid w:val="00AA2A3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sz w:val="20"/>
    </w:rPr>
  </w:style>
  <w:style w:type="paragraph" w:customStyle="1" w:styleId="MaslonTxDb5L">
    <w:name w:val="MaslonTxDb(.5)L"/>
    <w:aliases w:val="dl5"/>
    <w:basedOn w:val="Normal"/>
    <w:link w:val="MaslonTxDb5LChar"/>
    <w:rsid w:val="00AA2A35"/>
    <w:pPr>
      <w:spacing w:line="360" w:lineRule="auto"/>
      <w:ind w:firstLine="720"/>
      <w:jc w:val="left"/>
    </w:pPr>
  </w:style>
  <w:style w:type="character" w:customStyle="1" w:styleId="MaslonTxDb5LChar">
    <w:name w:val="MaslonTxDb(.5)L Char"/>
    <w:aliases w:val="dl5 Char"/>
    <w:basedOn w:val="DefaultParagraphFont"/>
    <w:link w:val="MaslonTxDb5L"/>
    <w:rsid w:val="00AA2A35"/>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AA2A35"/>
    <w:rPr>
      <w:rFonts w:ascii="Tahoma" w:hAnsi="Tahoma" w:cs="Tahoma"/>
      <w:sz w:val="16"/>
      <w:szCs w:val="16"/>
    </w:rPr>
  </w:style>
  <w:style w:type="character" w:customStyle="1" w:styleId="BalloonTextChar">
    <w:name w:val="Balloon Text Char"/>
    <w:basedOn w:val="DefaultParagraphFont"/>
    <w:link w:val="BalloonText"/>
    <w:uiPriority w:val="99"/>
    <w:semiHidden/>
    <w:rsid w:val="00AA2A3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1499</Characters>
  <Application>Microsoft Office Word</Application>
  <DocSecurity>0</DocSecurity>
  <Lines>12</Lines>
  <Paragraphs>3</Paragraphs>
  <ScaleCrop>false</ScaleCrop>
  <Company>Minnesota Judicial Branch</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Kostouros </dc:creator>
  <cp:keywords/>
  <dc:description/>
  <cp:lastModifiedBy>John Kostouros </cp:lastModifiedBy>
  <cp:revision>1</cp:revision>
  <cp:lastPrinted>2011-07-06T22:13:00Z</cp:lastPrinted>
  <dcterms:created xsi:type="dcterms:W3CDTF">2011-07-06T22:13:00Z</dcterms:created>
  <dcterms:modified xsi:type="dcterms:W3CDTF">2011-07-06T22:14:00Z</dcterms:modified>
</cp:coreProperties>
</file>