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919" w:rsidRDefault="00B96919" w:rsidP="00FB74B6">
      <w:pPr>
        <w:tabs>
          <w:tab w:val="left" w:pos="720"/>
          <w:tab w:val="left" w:pos="1440"/>
        </w:tabs>
        <w:ind w:left="1440" w:hanging="1440"/>
      </w:pPr>
    </w:p>
    <w:p w:rsidR="00D439B6" w:rsidRDefault="004F77A4" w:rsidP="00FB74B6">
      <w:pPr>
        <w:tabs>
          <w:tab w:val="left" w:pos="720"/>
          <w:tab w:val="left" w:pos="1440"/>
        </w:tabs>
        <w:ind w:left="1440" w:hanging="144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95pt;margin-top:12.25pt;width:500.1pt;height:583.2pt;z-index:-251658752">
            <v:imagedata r:id="rId9" o:title="" gain="19661f" blacklevel="22938f"/>
          </v:shape>
          <o:OLEObject Type="Embed" ProgID="MS_ClipArt_Gallery.5" ShapeID="_x0000_s1027" DrawAspect="Content" ObjectID="_1416921885" r:id="rId10"/>
        </w:pict>
      </w:r>
    </w:p>
    <w:p w:rsidR="00D439B6" w:rsidRDefault="00D439B6" w:rsidP="00D439B6">
      <w:pPr>
        <w:suppressAutoHyphens w:val="0"/>
        <w:jc w:val="left"/>
      </w:pPr>
    </w:p>
    <w:p w:rsidR="00D439B6" w:rsidRDefault="00D439B6" w:rsidP="00D439B6">
      <w:pPr>
        <w:suppressAutoHyphens w:val="0"/>
        <w:jc w:val="left"/>
      </w:pPr>
    </w:p>
    <w:p w:rsidR="00D439B6" w:rsidRDefault="00D439B6" w:rsidP="00D439B6">
      <w:pPr>
        <w:suppressAutoHyphens w:val="0"/>
        <w:jc w:val="left"/>
      </w:pPr>
    </w:p>
    <w:p w:rsidR="00D439B6" w:rsidRDefault="00D439B6" w:rsidP="00D439B6">
      <w:pPr>
        <w:suppressAutoHyphens w:val="0"/>
        <w:jc w:val="left"/>
      </w:pPr>
    </w:p>
    <w:p w:rsidR="00D439B6" w:rsidRDefault="00D439B6" w:rsidP="00D439B6">
      <w:pPr>
        <w:suppressAutoHyphens w:val="0"/>
        <w:jc w:val="left"/>
      </w:pPr>
    </w:p>
    <w:p w:rsidR="00D439B6" w:rsidRDefault="00D439B6" w:rsidP="00D439B6">
      <w:pPr>
        <w:suppressAutoHyphens w:val="0"/>
        <w:jc w:val="left"/>
      </w:pPr>
    </w:p>
    <w:p w:rsidR="00D439B6" w:rsidRDefault="00D439B6" w:rsidP="00D439B6">
      <w:pPr>
        <w:suppressAutoHyphens w:val="0"/>
        <w:jc w:val="left"/>
      </w:pPr>
    </w:p>
    <w:p w:rsidR="00D439B6" w:rsidRDefault="00D439B6" w:rsidP="00D439B6">
      <w:pPr>
        <w:suppressAutoHyphens w:val="0"/>
        <w:jc w:val="left"/>
      </w:pPr>
    </w:p>
    <w:p w:rsidR="00D439B6" w:rsidRDefault="00D439B6" w:rsidP="00D439B6">
      <w:pPr>
        <w:suppressAutoHyphens w:val="0"/>
        <w:jc w:val="left"/>
      </w:pPr>
    </w:p>
    <w:p w:rsidR="00D439B6" w:rsidRDefault="00D439B6" w:rsidP="00D439B6">
      <w:pPr>
        <w:suppressAutoHyphens w:val="0"/>
        <w:jc w:val="left"/>
      </w:pPr>
    </w:p>
    <w:p w:rsidR="00D439B6" w:rsidRPr="00D439B6" w:rsidRDefault="00D439B6" w:rsidP="00D439B6">
      <w:pPr>
        <w:keepNext/>
        <w:suppressAutoHyphens w:val="0"/>
        <w:jc w:val="center"/>
        <w:outlineLvl w:val="0"/>
        <w:rPr>
          <w:b/>
          <w:sz w:val="72"/>
        </w:rPr>
      </w:pPr>
      <w:r w:rsidRPr="00D439B6">
        <w:rPr>
          <w:b/>
          <w:sz w:val="72"/>
        </w:rPr>
        <w:t>Minnesota Court of Appeals</w:t>
      </w:r>
    </w:p>
    <w:p w:rsidR="00D439B6" w:rsidRPr="00D439B6" w:rsidRDefault="00D439B6" w:rsidP="00D439B6">
      <w:pPr>
        <w:suppressAutoHyphens w:val="0"/>
        <w:jc w:val="center"/>
        <w:rPr>
          <w:b/>
          <w:sz w:val="72"/>
        </w:rPr>
      </w:pPr>
    </w:p>
    <w:p w:rsidR="00D439B6" w:rsidRPr="00D439B6" w:rsidRDefault="00D439B6" w:rsidP="00D439B6">
      <w:pPr>
        <w:suppressAutoHyphens w:val="0"/>
        <w:jc w:val="center"/>
        <w:rPr>
          <w:b/>
          <w:sz w:val="72"/>
        </w:rPr>
      </w:pPr>
      <w:r w:rsidRPr="00D439B6">
        <w:rPr>
          <w:b/>
          <w:sz w:val="72"/>
        </w:rPr>
        <w:t>Significant Decisions</w:t>
      </w:r>
    </w:p>
    <w:p w:rsidR="00D439B6" w:rsidRPr="00D439B6" w:rsidRDefault="00D439B6" w:rsidP="00D439B6">
      <w:pPr>
        <w:suppressAutoHyphens w:val="0"/>
        <w:jc w:val="center"/>
        <w:rPr>
          <w:b/>
          <w:sz w:val="72"/>
        </w:rPr>
      </w:pPr>
    </w:p>
    <w:p w:rsidR="00D439B6" w:rsidRDefault="00D439B6" w:rsidP="00D439B6">
      <w:pPr>
        <w:suppressAutoHyphens w:val="0"/>
        <w:jc w:val="center"/>
        <w:rPr>
          <w:b/>
          <w:sz w:val="72"/>
        </w:rPr>
      </w:pPr>
      <w:r w:rsidRPr="00D439B6">
        <w:rPr>
          <w:b/>
          <w:sz w:val="72"/>
        </w:rPr>
        <w:t>September 20</w:t>
      </w:r>
      <w:r w:rsidR="00D31630">
        <w:rPr>
          <w:b/>
          <w:sz w:val="72"/>
        </w:rPr>
        <w:t>11</w:t>
      </w:r>
      <w:r w:rsidRPr="00D439B6">
        <w:rPr>
          <w:b/>
          <w:sz w:val="72"/>
        </w:rPr>
        <w:t>-August 20</w:t>
      </w:r>
      <w:r w:rsidR="00D31630">
        <w:rPr>
          <w:b/>
          <w:sz w:val="72"/>
        </w:rPr>
        <w:t>12</w:t>
      </w:r>
    </w:p>
    <w:p w:rsidR="00A328D0" w:rsidRDefault="00A328D0" w:rsidP="00A328D0">
      <w:pPr>
        <w:suppressAutoHyphens w:val="0"/>
        <w:jc w:val="center"/>
        <w:rPr>
          <w:b/>
          <w:sz w:val="72"/>
        </w:rPr>
      </w:pPr>
    </w:p>
    <w:p w:rsidR="00A328D0" w:rsidRDefault="00A328D0" w:rsidP="00A328D0">
      <w:pPr>
        <w:suppressAutoHyphens w:val="0"/>
        <w:jc w:val="center"/>
        <w:rPr>
          <w:b/>
          <w:sz w:val="72"/>
        </w:rPr>
      </w:pPr>
    </w:p>
    <w:p w:rsidR="00A328D0" w:rsidRDefault="00A328D0" w:rsidP="00A328D0">
      <w:pPr>
        <w:suppressAutoHyphens w:val="0"/>
        <w:jc w:val="center"/>
        <w:rPr>
          <w:b/>
          <w:sz w:val="72"/>
        </w:rPr>
      </w:pPr>
    </w:p>
    <w:p w:rsidR="00A328D0" w:rsidRDefault="00A328D0" w:rsidP="00A328D0">
      <w:pPr>
        <w:suppressAutoHyphens w:val="0"/>
        <w:jc w:val="center"/>
        <w:rPr>
          <w:b/>
          <w:smallCaps/>
          <w:sz w:val="28"/>
          <w:szCs w:val="28"/>
        </w:rPr>
      </w:pPr>
    </w:p>
    <w:p w:rsidR="00A328D0" w:rsidRDefault="00A328D0" w:rsidP="00A328D0">
      <w:pPr>
        <w:suppressAutoHyphens w:val="0"/>
        <w:jc w:val="center"/>
        <w:rPr>
          <w:b/>
          <w:smallCaps/>
          <w:sz w:val="28"/>
          <w:szCs w:val="28"/>
        </w:rPr>
      </w:pPr>
    </w:p>
    <w:p w:rsidR="00A328D0" w:rsidRDefault="00A328D0" w:rsidP="00A328D0">
      <w:pPr>
        <w:suppressAutoHyphens w:val="0"/>
        <w:jc w:val="center"/>
        <w:rPr>
          <w:b/>
          <w:smallCaps/>
          <w:sz w:val="28"/>
          <w:szCs w:val="28"/>
        </w:rPr>
      </w:pPr>
    </w:p>
    <w:p w:rsidR="00A328D0" w:rsidRDefault="00A328D0" w:rsidP="00A328D0">
      <w:pPr>
        <w:suppressAutoHyphens w:val="0"/>
        <w:jc w:val="center"/>
        <w:rPr>
          <w:b/>
          <w:smallCaps/>
          <w:sz w:val="28"/>
          <w:szCs w:val="28"/>
        </w:rPr>
      </w:pPr>
    </w:p>
    <w:p w:rsidR="00A328D0" w:rsidRDefault="00A328D0" w:rsidP="00A328D0">
      <w:pPr>
        <w:suppressAutoHyphens w:val="0"/>
        <w:jc w:val="center"/>
        <w:rPr>
          <w:b/>
          <w:smallCaps/>
          <w:sz w:val="28"/>
          <w:szCs w:val="28"/>
        </w:rPr>
      </w:pPr>
    </w:p>
    <w:p w:rsidR="00A328D0" w:rsidRDefault="00A328D0" w:rsidP="00A328D0">
      <w:pPr>
        <w:suppressAutoHyphens w:val="0"/>
        <w:jc w:val="center"/>
        <w:rPr>
          <w:b/>
          <w:smallCaps/>
          <w:sz w:val="28"/>
          <w:szCs w:val="28"/>
        </w:rPr>
      </w:pPr>
    </w:p>
    <w:p w:rsidR="006F72F3" w:rsidRDefault="00A328D0" w:rsidP="00A328D0">
      <w:pPr>
        <w:suppressAutoHyphens w:val="0"/>
        <w:jc w:val="center"/>
        <w:rPr>
          <w:b/>
          <w:smallCaps/>
          <w:sz w:val="28"/>
          <w:szCs w:val="28"/>
        </w:rPr>
      </w:pPr>
      <w:r w:rsidRPr="00487B49">
        <w:rPr>
          <w:b/>
          <w:smallCaps/>
          <w:sz w:val="28"/>
          <w:szCs w:val="28"/>
        </w:rPr>
        <w:t xml:space="preserve">This </w:t>
      </w:r>
      <w:r>
        <w:rPr>
          <w:b/>
          <w:smallCaps/>
          <w:sz w:val="28"/>
          <w:szCs w:val="28"/>
        </w:rPr>
        <w:t>D</w:t>
      </w:r>
      <w:r w:rsidRPr="00487B49">
        <w:rPr>
          <w:b/>
          <w:smallCaps/>
          <w:sz w:val="28"/>
          <w:szCs w:val="28"/>
        </w:rPr>
        <w:t xml:space="preserve">ocument is </w:t>
      </w:r>
      <w:r>
        <w:rPr>
          <w:b/>
          <w:smallCaps/>
          <w:sz w:val="28"/>
          <w:szCs w:val="28"/>
        </w:rPr>
        <w:t>A</w:t>
      </w:r>
      <w:r w:rsidRPr="00487B49">
        <w:rPr>
          <w:b/>
          <w:smallCaps/>
          <w:sz w:val="28"/>
          <w:szCs w:val="28"/>
        </w:rPr>
        <w:t xml:space="preserve">vailable </w:t>
      </w:r>
      <w:r>
        <w:rPr>
          <w:b/>
          <w:smallCaps/>
          <w:sz w:val="28"/>
          <w:szCs w:val="28"/>
        </w:rPr>
        <w:t>on the Court Website</w:t>
      </w:r>
    </w:p>
    <w:p w:rsidR="00A328D0" w:rsidRPr="00487B49" w:rsidRDefault="00A328D0" w:rsidP="00A328D0">
      <w:pPr>
        <w:suppressAutoHyphens w:val="0"/>
        <w:jc w:val="center"/>
        <w:rPr>
          <w:b/>
          <w:smallCaps/>
          <w:sz w:val="28"/>
          <w:szCs w:val="28"/>
        </w:rPr>
      </w:pPr>
      <w:r w:rsidRPr="00487B49">
        <w:rPr>
          <w:b/>
          <w:smallCaps/>
          <w:sz w:val="28"/>
          <w:szCs w:val="28"/>
        </w:rPr>
        <w:t>www.</w:t>
      </w:r>
      <w:r w:rsidR="006F72F3">
        <w:rPr>
          <w:b/>
          <w:smallCaps/>
          <w:sz w:val="28"/>
          <w:szCs w:val="28"/>
        </w:rPr>
        <w:t>mncourts.gov</w:t>
      </w:r>
    </w:p>
    <w:p w:rsidR="00D439B6" w:rsidRDefault="00D439B6" w:rsidP="00FB74B6">
      <w:pPr>
        <w:pStyle w:val="Heading2"/>
        <w:tabs>
          <w:tab w:val="left" w:pos="720"/>
          <w:tab w:val="left" w:pos="1440"/>
        </w:tabs>
        <w:rPr>
          <w:spacing w:val="-3"/>
        </w:rPr>
        <w:sectPr w:rsidR="00D439B6" w:rsidSect="00CA668A">
          <w:headerReference w:type="default" r:id="rId11"/>
          <w:footerReference w:type="even" r:id="rId12"/>
          <w:footerReference w:type="default" r:id="rId13"/>
          <w:headerReference w:type="first" r:id="rId14"/>
          <w:pgSz w:w="12240" w:h="15840" w:code="1"/>
          <w:pgMar w:top="1440" w:right="1440" w:bottom="1440" w:left="1440" w:header="0" w:footer="1152" w:gutter="0"/>
          <w:cols w:space="720"/>
          <w:noEndnote/>
          <w:titlePg/>
          <w:docGrid w:linePitch="354"/>
        </w:sectPr>
      </w:pPr>
    </w:p>
    <w:p w:rsidR="00AB3A1C" w:rsidRPr="00234347" w:rsidRDefault="00AB3A1C" w:rsidP="00AB3A1C">
      <w:pPr>
        <w:widowControl w:val="0"/>
        <w:jc w:val="center"/>
        <w:rPr>
          <w:b/>
          <w:sz w:val="32"/>
          <w:szCs w:val="32"/>
        </w:rPr>
      </w:pPr>
      <w:r w:rsidRPr="00234347">
        <w:rPr>
          <w:b/>
          <w:sz w:val="32"/>
          <w:szCs w:val="32"/>
        </w:rPr>
        <w:lastRenderedPageBreak/>
        <w:t>TABLE OF CONTENTS</w:t>
      </w:r>
    </w:p>
    <w:p w:rsidR="00AB3A1C" w:rsidRDefault="00AB3A1C" w:rsidP="00AB3A1C">
      <w:pPr>
        <w:widowControl w:val="0"/>
        <w:jc w:val="center"/>
        <w:rPr>
          <w:sz w:val="28"/>
        </w:rPr>
      </w:pPr>
    </w:p>
    <w:p w:rsidR="00E83F80" w:rsidRDefault="00E83F80" w:rsidP="00AB3A1C">
      <w:pPr>
        <w:widowControl w:val="0"/>
        <w:jc w:val="center"/>
        <w:rPr>
          <w:sz w:val="28"/>
        </w:rPr>
      </w:pPr>
    </w:p>
    <w:p w:rsidR="00AB3A1C" w:rsidRPr="00234347" w:rsidRDefault="00AB3A1C" w:rsidP="00AB3A1C">
      <w:pPr>
        <w:widowControl w:val="0"/>
        <w:jc w:val="center"/>
        <w:rPr>
          <w:b/>
          <w:sz w:val="28"/>
        </w:rPr>
      </w:pPr>
      <w:r w:rsidRPr="00234347">
        <w:rPr>
          <w:b/>
          <w:sz w:val="28"/>
        </w:rPr>
        <w:t>PART I</w:t>
      </w:r>
      <w:r>
        <w:rPr>
          <w:b/>
          <w:sz w:val="28"/>
        </w:rPr>
        <w:t xml:space="preserve"> – </w:t>
      </w:r>
      <w:r w:rsidRPr="00234347">
        <w:rPr>
          <w:b/>
          <w:sz w:val="28"/>
        </w:rPr>
        <w:t>CIVIL CASES</w:t>
      </w:r>
    </w:p>
    <w:p w:rsidR="00AB3A1C" w:rsidRPr="00C77D75" w:rsidRDefault="00AB3A1C" w:rsidP="00AB3A1C">
      <w:pPr>
        <w:widowControl w:val="0"/>
        <w:rPr>
          <w:sz w:val="28"/>
        </w:rPr>
      </w:pPr>
    </w:p>
    <w:p w:rsidR="00AB3A1C" w:rsidRPr="00816341" w:rsidRDefault="00AB3A1C" w:rsidP="00AB3A1C">
      <w:pPr>
        <w:widowControl w:val="0"/>
        <w:tabs>
          <w:tab w:val="right" w:leader="dot" w:pos="9360"/>
        </w:tabs>
        <w:rPr>
          <w:szCs w:val="26"/>
        </w:rPr>
      </w:pPr>
      <w:r w:rsidRPr="00816341">
        <w:rPr>
          <w:szCs w:val="26"/>
        </w:rPr>
        <w:t>Administrative Law</w:t>
      </w:r>
      <w:r w:rsidRPr="00816341">
        <w:rPr>
          <w:szCs w:val="26"/>
        </w:rPr>
        <w:tab/>
      </w:r>
      <w:r w:rsidR="00322623">
        <w:rPr>
          <w:szCs w:val="26"/>
        </w:rPr>
        <w:t>1</w:t>
      </w:r>
    </w:p>
    <w:p w:rsidR="00AB3A1C" w:rsidRDefault="00AB3A1C" w:rsidP="00AB3A1C">
      <w:pPr>
        <w:widowControl w:val="0"/>
        <w:tabs>
          <w:tab w:val="right" w:leader="dot" w:pos="9360"/>
        </w:tabs>
        <w:rPr>
          <w:szCs w:val="26"/>
        </w:rPr>
      </w:pPr>
      <w:r>
        <w:rPr>
          <w:szCs w:val="26"/>
        </w:rPr>
        <w:t>A</w:t>
      </w:r>
      <w:r w:rsidR="00E83F80">
        <w:rPr>
          <w:szCs w:val="26"/>
        </w:rPr>
        <w:t>lternative Dispute Resolution</w:t>
      </w:r>
      <w:r>
        <w:rPr>
          <w:szCs w:val="26"/>
        </w:rPr>
        <w:tab/>
      </w:r>
      <w:r w:rsidR="00322623">
        <w:rPr>
          <w:szCs w:val="26"/>
        </w:rPr>
        <w:t>1</w:t>
      </w:r>
    </w:p>
    <w:p w:rsidR="00E83F80" w:rsidRDefault="00E83F80" w:rsidP="00E83F80">
      <w:pPr>
        <w:widowControl w:val="0"/>
        <w:tabs>
          <w:tab w:val="right" w:leader="dot" w:pos="9360"/>
        </w:tabs>
        <w:rPr>
          <w:szCs w:val="26"/>
        </w:rPr>
      </w:pPr>
      <w:r>
        <w:rPr>
          <w:szCs w:val="26"/>
        </w:rPr>
        <w:t>Appellate Procedure</w:t>
      </w:r>
      <w:r>
        <w:rPr>
          <w:szCs w:val="26"/>
        </w:rPr>
        <w:tab/>
      </w:r>
      <w:r w:rsidR="00322623">
        <w:rPr>
          <w:szCs w:val="26"/>
        </w:rPr>
        <w:t>2</w:t>
      </w:r>
    </w:p>
    <w:p w:rsidR="00F86C0A" w:rsidRDefault="00F86C0A" w:rsidP="00AB3A1C">
      <w:pPr>
        <w:widowControl w:val="0"/>
        <w:tabs>
          <w:tab w:val="right" w:leader="dot" w:pos="9360"/>
        </w:tabs>
        <w:rPr>
          <w:szCs w:val="26"/>
        </w:rPr>
      </w:pPr>
      <w:r>
        <w:rPr>
          <w:szCs w:val="26"/>
        </w:rPr>
        <w:t>Child Protection</w:t>
      </w:r>
      <w:r>
        <w:rPr>
          <w:szCs w:val="26"/>
        </w:rPr>
        <w:tab/>
      </w:r>
      <w:r w:rsidR="00322623">
        <w:rPr>
          <w:szCs w:val="26"/>
        </w:rPr>
        <w:t>2</w:t>
      </w:r>
    </w:p>
    <w:p w:rsidR="00AB3A1C" w:rsidRDefault="00AB3A1C" w:rsidP="00AB3A1C">
      <w:pPr>
        <w:widowControl w:val="0"/>
        <w:tabs>
          <w:tab w:val="right" w:leader="dot" w:pos="9360"/>
        </w:tabs>
        <w:rPr>
          <w:szCs w:val="26"/>
        </w:rPr>
      </w:pPr>
      <w:r>
        <w:rPr>
          <w:szCs w:val="26"/>
        </w:rPr>
        <w:t xml:space="preserve">Civil </w:t>
      </w:r>
      <w:r w:rsidR="00E83F80">
        <w:rPr>
          <w:szCs w:val="26"/>
        </w:rPr>
        <w:t>Procedure</w:t>
      </w:r>
      <w:r w:rsidRPr="00816341">
        <w:rPr>
          <w:szCs w:val="26"/>
        </w:rPr>
        <w:tab/>
      </w:r>
      <w:r w:rsidR="00322623">
        <w:rPr>
          <w:szCs w:val="26"/>
        </w:rPr>
        <w:t>3</w:t>
      </w:r>
    </w:p>
    <w:p w:rsidR="00AB3A1C" w:rsidRPr="00816341" w:rsidRDefault="00AB3A1C" w:rsidP="00AB3A1C">
      <w:pPr>
        <w:widowControl w:val="0"/>
        <w:tabs>
          <w:tab w:val="right" w:leader="dot" w:pos="9360"/>
        </w:tabs>
        <w:rPr>
          <w:szCs w:val="26"/>
        </w:rPr>
      </w:pPr>
      <w:r w:rsidRPr="00816341">
        <w:rPr>
          <w:szCs w:val="26"/>
        </w:rPr>
        <w:t>Constitutional Law</w:t>
      </w:r>
      <w:r w:rsidRPr="00816341">
        <w:rPr>
          <w:szCs w:val="26"/>
        </w:rPr>
        <w:tab/>
      </w:r>
      <w:r w:rsidR="00322623">
        <w:rPr>
          <w:szCs w:val="26"/>
        </w:rPr>
        <w:t>4</w:t>
      </w:r>
    </w:p>
    <w:p w:rsidR="00AB3A1C" w:rsidRPr="00816341" w:rsidRDefault="00AB3A1C" w:rsidP="00AB3A1C">
      <w:pPr>
        <w:widowControl w:val="0"/>
        <w:tabs>
          <w:tab w:val="right" w:leader="dot" w:pos="9360"/>
        </w:tabs>
        <w:rPr>
          <w:szCs w:val="26"/>
        </w:rPr>
      </w:pPr>
      <w:r w:rsidRPr="00816341">
        <w:rPr>
          <w:szCs w:val="26"/>
        </w:rPr>
        <w:t>Contracts</w:t>
      </w:r>
      <w:r w:rsidRPr="00816341">
        <w:rPr>
          <w:szCs w:val="26"/>
        </w:rPr>
        <w:tab/>
      </w:r>
      <w:r w:rsidR="00322623">
        <w:rPr>
          <w:szCs w:val="26"/>
        </w:rPr>
        <w:t>4</w:t>
      </w:r>
    </w:p>
    <w:p w:rsidR="00AB3A1C" w:rsidRPr="00816341" w:rsidRDefault="00AB3A1C" w:rsidP="00AB3A1C">
      <w:pPr>
        <w:widowControl w:val="0"/>
        <w:tabs>
          <w:tab w:val="right" w:leader="dot" w:pos="9360"/>
        </w:tabs>
        <w:rPr>
          <w:szCs w:val="26"/>
        </w:rPr>
      </w:pPr>
      <w:r w:rsidRPr="00816341">
        <w:rPr>
          <w:szCs w:val="26"/>
        </w:rPr>
        <w:t>Family Law</w:t>
      </w:r>
      <w:r w:rsidRPr="00816341">
        <w:rPr>
          <w:szCs w:val="26"/>
        </w:rPr>
        <w:tab/>
      </w:r>
      <w:r w:rsidR="00322623">
        <w:rPr>
          <w:szCs w:val="26"/>
        </w:rPr>
        <w:t>5</w:t>
      </w:r>
    </w:p>
    <w:p w:rsidR="00AB3A1C" w:rsidRPr="00816341" w:rsidRDefault="00E83F80" w:rsidP="00AB3A1C">
      <w:pPr>
        <w:widowControl w:val="0"/>
        <w:tabs>
          <w:tab w:val="right" w:leader="dot" w:pos="9360"/>
        </w:tabs>
        <w:rPr>
          <w:szCs w:val="26"/>
        </w:rPr>
      </w:pPr>
      <w:r>
        <w:rPr>
          <w:szCs w:val="26"/>
        </w:rPr>
        <w:t>Harassment Restraining Orders and Orders for Protection</w:t>
      </w:r>
      <w:r w:rsidR="00AB3A1C" w:rsidRPr="00816341">
        <w:rPr>
          <w:szCs w:val="26"/>
        </w:rPr>
        <w:tab/>
      </w:r>
      <w:r w:rsidR="00322623">
        <w:rPr>
          <w:szCs w:val="26"/>
        </w:rPr>
        <w:t>6</w:t>
      </w:r>
    </w:p>
    <w:p w:rsidR="00AB3A1C" w:rsidRPr="00816341" w:rsidRDefault="00AB3A1C" w:rsidP="00AB3A1C">
      <w:pPr>
        <w:widowControl w:val="0"/>
        <w:tabs>
          <w:tab w:val="right" w:leader="dot" w:pos="9360"/>
        </w:tabs>
        <w:rPr>
          <w:szCs w:val="26"/>
        </w:rPr>
      </w:pPr>
      <w:r w:rsidRPr="00816341">
        <w:rPr>
          <w:szCs w:val="26"/>
        </w:rPr>
        <w:t>Insurance</w:t>
      </w:r>
      <w:r>
        <w:rPr>
          <w:szCs w:val="26"/>
        </w:rPr>
        <w:t xml:space="preserve"> Coverage</w:t>
      </w:r>
      <w:r w:rsidRPr="00816341">
        <w:rPr>
          <w:szCs w:val="26"/>
        </w:rPr>
        <w:tab/>
      </w:r>
      <w:r w:rsidR="00322623">
        <w:rPr>
          <w:szCs w:val="26"/>
        </w:rPr>
        <w:t>6</w:t>
      </w:r>
    </w:p>
    <w:p w:rsidR="00AB3A1C" w:rsidRDefault="00AB3A1C" w:rsidP="00AB3A1C">
      <w:pPr>
        <w:widowControl w:val="0"/>
        <w:tabs>
          <w:tab w:val="right" w:leader="dot" w:pos="9360"/>
        </w:tabs>
        <w:rPr>
          <w:szCs w:val="26"/>
        </w:rPr>
      </w:pPr>
      <w:r>
        <w:rPr>
          <w:szCs w:val="26"/>
        </w:rPr>
        <w:t>Jurisdiction and Procedure</w:t>
      </w:r>
      <w:r w:rsidRPr="00816341">
        <w:rPr>
          <w:szCs w:val="26"/>
        </w:rPr>
        <w:tab/>
      </w:r>
      <w:r w:rsidR="00322623">
        <w:rPr>
          <w:szCs w:val="26"/>
        </w:rPr>
        <w:t>7</w:t>
      </w:r>
    </w:p>
    <w:p w:rsidR="00AB3A1C" w:rsidRPr="00816341" w:rsidRDefault="00AB3A1C" w:rsidP="00AB3A1C">
      <w:pPr>
        <w:widowControl w:val="0"/>
        <w:tabs>
          <w:tab w:val="right" w:leader="dot" w:pos="9360"/>
        </w:tabs>
        <w:rPr>
          <w:szCs w:val="26"/>
        </w:rPr>
      </w:pPr>
      <w:r>
        <w:rPr>
          <w:szCs w:val="26"/>
        </w:rPr>
        <w:t>Labor and Employment</w:t>
      </w:r>
      <w:r w:rsidRPr="00816341">
        <w:rPr>
          <w:szCs w:val="26"/>
        </w:rPr>
        <w:tab/>
      </w:r>
      <w:r w:rsidR="00322623">
        <w:rPr>
          <w:szCs w:val="26"/>
        </w:rPr>
        <w:t>7</w:t>
      </w:r>
    </w:p>
    <w:p w:rsidR="00AB3A1C" w:rsidRDefault="00AB3A1C" w:rsidP="00AB3A1C">
      <w:pPr>
        <w:widowControl w:val="0"/>
        <w:tabs>
          <w:tab w:val="right" w:leader="dot" w:pos="9360"/>
        </w:tabs>
        <w:rPr>
          <w:szCs w:val="26"/>
        </w:rPr>
      </w:pPr>
      <w:r>
        <w:rPr>
          <w:szCs w:val="26"/>
        </w:rPr>
        <w:t>Liens</w:t>
      </w:r>
      <w:r w:rsidRPr="00816341">
        <w:rPr>
          <w:szCs w:val="26"/>
        </w:rPr>
        <w:tab/>
      </w:r>
      <w:r w:rsidR="00322623">
        <w:rPr>
          <w:szCs w:val="26"/>
        </w:rPr>
        <w:t>8</w:t>
      </w:r>
    </w:p>
    <w:p w:rsidR="00893DBE" w:rsidRDefault="006F7821" w:rsidP="00AB3A1C">
      <w:pPr>
        <w:widowControl w:val="0"/>
        <w:tabs>
          <w:tab w:val="right" w:leader="dot" w:pos="9360"/>
        </w:tabs>
        <w:rPr>
          <w:szCs w:val="26"/>
        </w:rPr>
      </w:pPr>
      <w:r>
        <w:rPr>
          <w:szCs w:val="26"/>
        </w:rPr>
        <w:t>Local Government</w:t>
      </w:r>
      <w:r w:rsidR="00893DBE" w:rsidRPr="00816341">
        <w:rPr>
          <w:szCs w:val="26"/>
        </w:rPr>
        <w:tab/>
      </w:r>
      <w:r w:rsidR="00322623">
        <w:rPr>
          <w:szCs w:val="26"/>
        </w:rPr>
        <w:t>8</w:t>
      </w:r>
    </w:p>
    <w:p w:rsidR="00AB3A1C" w:rsidRPr="00816341" w:rsidRDefault="00AB3A1C" w:rsidP="00AB3A1C">
      <w:pPr>
        <w:widowControl w:val="0"/>
        <w:tabs>
          <w:tab w:val="right" w:leader="dot" w:pos="9360"/>
        </w:tabs>
        <w:rPr>
          <w:szCs w:val="26"/>
        </w:rPr>
      </w:pPr>
      <w:r w:rsidRPr="00816341">
        <w:rPr>
          <w:szCs w:val="26"/>
        </w:rPr>
        <w:t>Probate</w:t>
      </w:r>
      <w:r w:rsidRPr="00816341">
        <w:rPr>
          <w:szCs w:val="26"/>
        </w:rPr>
        <w:tab/>
      </w:r>
      <w:r w:rsidR="003E78C6">
        <w:rPr>
          <w:szCs w:val="26"/>
        </w:rPr>
        <w:t>9</w:t>
      </w:r>
    </w:p>
    <w:p w:rsidR="00AB3A1C" w:rsidRPr="00816341" w:rsidRDefault="003A2140" w:rsidP="00AB3A1C">
      <w:pPr>
        <w:widowControl w:val="0"/>
        <w:tabs>
          <w:tab w:val="right" w:leader="dot" w:pos="9360"/>
        </w:tabs>
        <w:rPr>
          <w:szCs w:val="26"/>
        </w:rPr>
      </w:pPr>
      <w:r>
        <w:rPr>
          <w:szCs w:val="26"/>
        </w:rPr>
        <w:t xml:space="preserve">Real </w:t>
      </w:r>
      <w:r w:rsidR="00AB3A1C" w:rsidRPr="00816341">
        <w:rPr>
          <w:szCs w:val="26"/>
        </w:rPr>
        <w:t>Property</w:t>
      </w:r>
      <w:r w:rsidR="00AB3A1C" w:rsidRPr="00816341">
        <w:rPr>
          <w:szCs w:val="26"/>
        </w:rPr>
        <w:tab/>
      </w:r>
      <w:r w:rsidR="003E78C6">
        <w:rPr>
          <w:szCs w:val="26"/>
        </w:rPr>
        <w:t>9</w:t>
      </w:r>
    </w:p>
    <w:p w:rsidR="00BD07C6" w:rsidRPr="00816341" w:rsidRDefault="00BD07C6" w:rsidP="00BD07C6">
      <w:pPr>
        <w:widowControl w:val="0"/>
        <w:tabs>
          <w:tab w:val="right" w:leader="dot" w:pos="9360"/>
        </w:tabs>
        <w:rPr>
          <w:szCs w:val="26"/>
        </w:rPr>
      </w:pPr>
      <w:r>
        <w:rPr>
          <w:szCs w:val="26"/>
        </w:rPr>
        <w:t>Remedies</w:t>
      </w:r>
      <w:r w:rsidRPr="00816341">
        <w:rPr>
          <w:szCs w:val="26"/>
        </w:rPr>
        <w:tab/>
      </w:r>
      <w:r w:rsidR="009920AA">
        <w:rPr>
          <w:szCs w:val="26"/>
        </w:rPr>
        <w:t>1</w:t>
      </w:r>
      <w:r w:rsidR="00187118">
        <w:rPr>
          <w:szCs w:val="26"/>
        </w:rPr>
        <w:t>1</w:t>
      </w:r>
    </w:p>
    <w:p w:rsidR="00AB3A1C" w:rsidRPr="00816341" w:rsidRDefault="00AB3A1C" w:rsidP="00AB3A1C">
      <w:pPr>
        <w:widowControl w:val="0"/>
        <w:tabs>
          <w:tab w:val="right" w:leader="dot" w:pos="9360"/>
        </w:tabs>
        <w:rPr>
          <w:szCs w:val="26"/>
        </w:rPr>
      </w:pPr>
      <w:r w:rsidRPr="00816341">
        <w:rPr>
          <w:szCs w:val="26"/>
        </w:rPr>
        <w:t>Torts</w:t>
      </w:r>
      <w:r w:rsidRPr="00816341">
        <w:rPr>
          <w:szCs w:val="26"/>
        </w:rPr>
        <w:tab/>
      </w:r>
      <w:r w:rsidR="00D81EA0">
        <w:rPr>
          <w:szCs w:val="26"/>
        </w:rPr>
        <w:t>1</w:t>
      </w:r>
      <w:r w:rsidR="00187118">
        <w:rPr>
          <w:szCs w:val="26"/>
        </w:rPr>
        <w:t>1</w:t>
      </w:r>
    </w:p>
    <w:p w:rsidR="00AB3A1C" w:rsidRPr="00816341" w:rsidRDefault="00AB3A1C" w:rsidP="00AB3A1C">
      <w:pPr>
        <w:widowControl w:val="0"/>
        <w:tabs>
          <w:tab w:val="right" w:leader="dot" w:pos="9360"/>
        </w:tabs>
        <w:rPr>
          <w:szCs w:val="26"/>
        </w:rPr>
      </w:pPr>
      <w:r w:rsidRPr="003870A5">
        <w:rPr>
          <w:szCs w:val="26"/>
        </w:rPr>
        <w:t>Unemployment Benefits</w:t>
      </w:r>
      <w:r w:rsidRPr="00816341">
        <w:rPr>
          <w:szCs w:val="26"/>
        </w:rPr>
        <w:tab/>
      </w:r>
      <w:r w:rsidR="009920AA">
        <w:rPr>
          <w:szCs w:val="26"/>
        </w:rPr>
        <w:t>1</w:t>
      </w:r>
      <w:r w:rsidR="00187118">
        <w:rPr>
          <w:szCs w:val="26"/>
        </w:rPr>
        <w:t>2</w:t>
      </w:r>
    </w:p>
    <w:p w:rsidR="00AB3A1C" w:rsidRDefault="00AB3A1C" w:rsidP="00AB3A1C">
      <w:pPr>
        <w:suppressAutoHyphens w:val="0"/>
        <w:jc w:val="left"/>
        <w:rPr>
          <w:b/>
        </w:rPr>
      </w:pPr>
    </w:p>
    <w:p w:rsidR="00E83F80" w:rsidRDefault="00E83F80" w:rsidP="00AB3A1C">
      <w:pPr>
        <w:suppressAutoHyphens w:val="0"/>
        <w:jc w:val="left"/>
        <w:rPr>
          <w:b/>
        </w:rPr>
      </w:pPr>
    </w:p>
    <w:p w:rsidR="00AB3A1C" w:rsidRPr="00861FB8" w:rsidRDefault="00AB3A1C" w:rsidP="00AB3A1C">
      <w:pPr>
        <w:jc w:val="center"/>
        <w:rPr>
          <w:b/>
          <w:sz w:val="28"/>
          <w:szCs w:val="28"/>
        </w:rPr>
      </w:pPr>
      <w:r w:rsidRPr="00861FB8">
        <w:rPr>
          <w:b/>
          <w:sz w:val="28"/>
          <w:szCs w:val="28"/>
        </w:rPr>
        <w:t>PART II – CRIMINAL CASES AND</w:t>
      </w:r>
      <w:r>
        <w:rPr>
          <w:b/>
          <w:sz w:val="28"/>
          <w:szCs w:val="28"/>
        </w:rPr>
        <w:t xml:space="preserve"> CASES ON</w:t>
      </w:r>
      <w:r w:rsidRPr="00861FB8">
        <w:rPr>
          <w:b/>
          <w:sz w:val="28"/>
          <w:szCs w:val="28"/>
        </w:rPr>
        <w:t xml:space="preserve"> RELATED SUBJECTS</w:t>
      </w:r>
    </w:p>
    <w:p w:rsidR="00AB3A1C" w:rsidRDefault="00AB3A1C" w:rsidP="00AB3A1C">
      <w:pPr>
        <w:jc w:val="center"/>
        <w:rPr>
          <w:b/>
        </w:rPr>
      </w:pPr>
    </w:p>
    <w:p w:rsidR="00AB3A1C" w:rsidRDefault="00AB3A1C" w:rsidP="00AB3A1C">
      <w:pPr>
        <w:widowControl w:val="0"/>
        <w:tabs>
          <w:tab w:val="right" w:leader="dot" w:pos="9360"/>
        </w:tabs>
        <w:rPr>
          <w:szCs w:val="26"/>
        </w:rPr>
      </w:pPr>
      <w:r>
        <w:rPr>
          <w:szCs w:val="26"/>
        </w:rPr>
        <w:t>Constitutional Law</w:t>
      </w:r>
      <w:r w:rsidRPr="00816341">
        <w:rPr>
          <w:szCs w:val="26"/>
        </w:rPr>
        <w:tab/>
      </w:r>
      <w:r w:rsidR="0067379A">
        <w:rPr>
          <w:szCs w:val="26"/>
        </w:rPr>
        <w:t>1</w:t>
      </w:r>
      <w:r w:rsidR="00187118">
        <w:rPr>
          <w:szCs w:val="26"/>
        </w:rPr>
        <w:t>4</w:t>
      </w:r>
    </w:p>
    <w:p w:rsidR="003A2140" w:rsidRDefault="003A2140" w:rsidP="00AB3A1C">
      <w:pPr>
        <w:widowControl w:val="0"/>
        <w:tabs>
          <w:tab w:val="right" w:leader="dot" w:pos="9360"/>
        </w:tabs>
        <w:rPr>
          <w:szCs w:val="26"/>
        </w:rPr>
      </w:pPr>
      <w:r>
        <w:rPr>
          <w:szCs w:val="26"/>
        </w:rPr>
        <w:t>DWI &amp; Implied Consent</w:t>
      </w:r>
      <w:r>
        <w:rPr>
          <w:szCs w:val="26"/>
        </w:rPr>
        <w:tab/>
      </w:r>
      <w:r w:rsidR="0067379A">
        <w:rPr>
          <w:szCs w:val="26"/>
        </w:rPr>
        <w:t>1</w:t>
      </w:r>
      <w:r w:rsidR="00187118">
        <w:rPr>
          <w:szCs w:val="26"/>
        </w:rPr>
        <w:t>4</w:t>
      </w:r>
    </w:p>
    <w:p w:rsidR="00AB3A1C" w:rsidRPr="00816341" w:rsidRDefault="00AB3A1C" w:rsidP="00AB3A1C">
      <w:pPr>
        <w:widowControl w:val="0"/>
        <w:tabs>
          <w:tab w:val="right" w:leader="dot" w:pos="9360"/>
        </w:tabs>
        <w:rPr>
          <w:szCs w:val="26"/>
        </w:rPr>
      </w:pPr>
      <w:r>
        <w:rPr>
          <w:szCs w:val="26"/>
        </w:rPr>
        <w:t>Evidence</w:t>
      </w:r>
      <w:r w:rsidRPr="00816341">
        <w:rPr>
          <w:szCs w:val="26"/>
        </w:rPr>
        <w:tab/>
      </w:r>
      <w:r w:rsidR="0067379A">
        <w:rPr>
          <w:szCs w:val="26"/>
        </w:rPr>
        <w:t>1</w:t>
      </w:r>
      <w:r w:rsidR="00187118">
        <w:rPr>
          <w:szCs w:val="26"/>
        </w:rPr>
        <w:t>5</w:t>
      </w:r>
    </w:p>
    <w:p w:rsidR="00AB3A1C" w:rsidRDefault="003A2140" w:rsidP="00AB3A1C">
      <w:pPr>
        <w:widowControl w:val="0"/>
        <w:tabs>
          <w:tab w:val="right" w:leader="dot" w:pos="9360"/>
        </w:tabs>
        <w:rPr>
          <w:szCs w:val="26"/>
        </w:rPr>
      </w:pPr>
      <w:r>
        <w:rPr>
          <w:szCs w:val="26"/>
        </w:rPr>
        <w:t>Guilty Pleas</w:t>
      </w:r>
      <w:r w:rsidR="00AB3A1C" w:rsidRPr="00816341">
        <w:rPr>
          <w:szCs w:val="26"/>
        </w:rPr>
        <w:tab/>
      </w:r>
      <w:r w:rsidR="0067379A">
        <w:rPr>
          <w:szCs w:val="26"/>
        </w:rPr>
        <w:t>1</w:t>
      </w:r>
      <w:r w:rsidR="00187118">
        <w:rPr>
          <w:szCs w:val="26"/>
        </w:rPr>
        <w:t>5</w:t>
      </w:r>
    </w:p>
    <w:p w:rsidR="003A2140" w:rsidRDefault="003A2140" w:rsidP="00AB3A1C">
      <w:pPr>
        <w:widowControl w:val="0"/>
        <w:tabs>
          <w:tab w:val="right" w:leader="dot" w:pos="9360"/>
        </w:tabs>
        <w:rPr>
          <w:szCs w:val="26"/>
        </w:rPr>
      </w:pPr>
      <w:r>
        <w:rPr>
          <w:szCs w:val="26"/>
        </w:rPr>
        <w:t>Postconviction</w:t>
      </w:r>
      <w:r>
        <w:rPr>
          <w:szCs w:val="26"/>
        </w:rPr>
        <w:tab/>
      </w:r>
      <w:r w:rsidR="0067379A">
        <w:rPr>
          <w:szCs w:val="26"/>
        </w:rPr>
        <w:t>1</w:t>
      </w:r>
      <w:r w:rsidR="00187118">
        <w:rPr>
          <w:szCs w:val="26"/>
        </w:rPr>
        <w:t>5</w:t>
      </w:r>
    </w:p>
    <w:p w:rsidR="00AB3A1C" w:rsidRDefault="00AB3A1C" w:rsidP="00AB3A1C">
      <w:pPr>
        <w:widowControl w:val="0"/>
        <w:tabs>
          <w:tab w:val="right" w:leader="dot" w:pos="9360"/>
        </w:tabs>
        <w:rPr>
          <w:szCs w:val="26"/>
        </w:rPr>
      </w:pPr>
      <w:r>
        <w:rPr>
          <w:szCs w:val="26"/>
        </w:rPr>
        <w:t>Pretrial Procedure</w:t>
      </w:r>
      <w:r w:rsidRPr="00816341">
        <w:rPr>
          <w:szCs w:val="26"/>
        </w:rPr>
        <w:tab/>
      </w:r>
      <w:r w:rsidR="0067379A">
        <w:rPr>
          <w:szCs w:val="26"/>
        </w:rPr>
        <w:t>1</w:t>
      </w:r>
      <w:r w:rsidR="00187118">
        <w:rPr>
          <w:szCs w:val="26"/>
        </w:rPr>
        <w:t>6</w:t>
      </w:r>
    </w:p>
    <w:p w:rsidR="006B2827" w:rsidRPr="00816341" w:rsidRDefault="006B2827" w:rsidP="006B2827">
      <w:pPr>
        <w:widowControl w:val="0"/>
        <w:tabs>
          <w:tab w:val="right" w:leader="dot" w:pos="9360"/>
        </w:tabs>
        <w:rPr>
          <w:szCs w:val="26"/>
        </w:rPr>
      </w:pPr>
      <w:r>
        <w:rPr>
          <w:szCs w:val="26"/>
        </w:rPr>
        <w:t>Search &amp; Seizure</w:t>
      </w:r>
      <w:r w:rsidRPr="00816341">
        <w:rPr>
          <w:szCs w:val="26"/>
        </w:rPr>
        <w:tab/>
      </w:r>
      <w:r w:rsidR="0067379A">
        <w:rPr>
          <w:szCs w:val="26"/>
        </w:rPr>
        <w:t>1</w:t>
      </w:r>
      <w:r w:rsidR="00187118">
        <w:rPr>
          <w:szCs w:val="26"/>
        </w:rPr>
        <w:t>7</w:t>
      </w:r>
    </w:p>
    <w:p w:rsidR="00AB3A1C" w:rsidRPr="00816341" w:rsidRDefault="00AB3A1C" w:rsidP="00AB3A1C">
      <w:pPr>
        <w:widowControl w:val="0"/>
        <w:tabs>
          <w:tab w:val="right" w:leader="dot" w:pos="9360"/>
        </w:tabs>
        <w:rPr>
          <w:szCs w:val="26"/>
        </w:rPr>
      </w:pPr>
      <w:r>
        <w:rPr>
          <w:szCs w:val="26"/>
        </w:rPr>
        <w:t>Sentencing</w:t>
      </w:r>
      <w:r w:rsidRPr="00816341">
        <w:rPr>
          <w:szCs w:val="26"/>
        </w:rPr>
        <w:tab/>
      </w:r>
      <w:r w:rsidR="0067379A">
        <w:rPr>
          <w:szCs w:val="26"/>
        </w:rPr>
        <w:t>1</w:t>
      </w:r>
      <w:r w:rsidR="00187118">
        <w:rPr>
          <w:szCs w:val="26"/>
        </w:rPr>
        <w:t>8</w:t>
      </w:r>
    </w:p>
    <w:p w:rsidR="00AB3A1C" w:rsidRPr="00816341" w:rsidRDefault="00AB3A1C" w:rsidP="00AB3A1C">
      <w:pPr>
        <w:widowControl w:val="0"/>
        <w:tabs>
          <w:tab w:val="right" w:leader="dot" w:pos="9360"/>
        </w:tabs>
        <w:rPr>
          <w:szCs w:val="26"/>
        </w:rPr>
      </w:pPr>
      <w:r>
        <w:rPr>
          <w:szCs w:val="26"/>
        </w:rPr>
        <w:t>Substantive Criminal Law</w:t>
      </w:r>
      <w:r w:rsidRPr="00816341">
        <w:rPr>
          <w:szCs w:val="26"/>
        </w:rPr>
        <w:tab/>
      </w:r>
      <w:r w:rsidR="00187118">
        <w:rPr>
          <w:szCs w:val="26"/>
        </w:rPr>
        <w:t>18</w:t>
      </w:r>
    </w:p>
    <w:p w:rsidR="00AB3A1C" w:rsidRDefault="00AB3A1C" w:rsidP="00AB3A1C">
      <w:pPr>
        <w:widowControl w:val="0"/>
        <w:tabs>
          <w:tab w:val="right" w:leader="dot" w:pos="9360"/>
        </w:tabs>
        <w:rPr>
          <w:szCs w:val="26"/>
        </w:rPr>
      </w:pPr>
      <w:r>
        <w:rPr>
          <w:szCs w:val="26"/>
        </w:rPr>
        <w:t>Trial Procedure</w:t>
      </w:r>
      <w:r w:rsidRPr="00816341">
        <w:rPr>
          <w:szCs w:val="26"/>
        </w:rPr>
        <w:tab/>
      </w:r>
      <w:r w:rsidR="0067379A">
        <w:rPr>
          <w:szCs w:val="26"/>
        </w:rPr>
        <w:t>2</w:t>
      </w:r>
      <w:r w:rsidR="00187118">
        <w:rPr>
          <w:szCs w:val="26"/>
        </w:rPr>
        <w:t>0</w:t>
      </w:r>
    </w:p>
    <w:p w:rsidR="00214E2C" w:rsidRDefault="00214E2C">
      <w:pPr>
        <w:suppressAutoHyphens w:val="0"/>
        <w:jc w:val="left"/>
        <w:rPr>
          <w:szCs w:val="26"/>
        </w:rPr>
      </w:pPr>
    </w:p>
    <w:p w:rsidR="00476308" w:rsidRDefault="00476308">
      <w:pPr>
        <w:suppressAutoHyphens w:val="0"/>
        <w:jc w:val="left"/>
        <w:rPr>
          <w:szCs w:val="26"/>
        </w:rPr>
      </w:pPr>
    </w:p>
    <w:p w:rsidR="00214E2C" w:rsidRDefault="00214E2C">
      <w:pPr>
        <w:suppressAutoHyphens w:val="0"/>
        <w:jc w:val="left"/>
        <w:rPr>
          <w:szCs w:val="26"/>
        </w:rPr>
        <w:sectPr w:rsidR="00214E2C" w:rsidSect="005F446E">
          <w:footerReference w:type="default" r:id="rId15"/>
          <w:pgSz w:w="12240" w:h="15840"/>
          <w:pgMar w:top="1440" w:right="1440" w:bottom="1440" w:left="1440" w:header="720" w:footer="1152" w:gutter="0"/>
          <w:pgNumType w:fmt="lowerRoman" w:start="1"/>
          <w:cols w:space="720"/>
          <w:docGrid w:linePitch="360"/>
        </w:sectPr>
      </w:pPr>
    </w:p>
    <w:p w:rsidR="00A6742C" w:rsidRPr="00E0265D" w:rsidRDefault="00A6742C" w:rsidP="00A6742C">
      <w:pPr>
        <w:pStyle w:val="Heading2"/>
        <w:tabs>
          <w:tab w:val="left" w:pos="720"/>
          <w:tab w:val="left" w:pos="1440"/>
        </w:tabs>
        <w:rPr>
          <w:sz w:val="28"/>
          <w:szCs w:val="28"/>
        </w:rPr>
      </w:pPr>
      <w:r w:rsidRPr="00E0265D">
        <w:rPr>
          <w:sz w:val="28"/>
          <w:szCs w:val="28"/>
        </w:rPr>
        <w:lastRenderedPageBreak/>
        <w:t>PART I – CIVIL CASES</w:t>
      </w:r>
    </w:p>
    <w:p w:rsidR="00A6742C" w:rsidRDefault="00A6742C" w:rsidP="00A6742C">
      <w:pPr>
        <w:tabs>
          <w:tab w:val="left" w:pos="720"/>
          <w:tab w:val="left" w:pos="1440"/>
          <w:tab w:val="left" w:pos="2160"/>
        </w:tabs>
        <w:rPr>
          <w:b/>
          <w:u w:val="single"/>
        </w:rPr>
      </w:pPr>
    </w:p>
    <w:p w:rsidR="00A6742C" w:rsidRDefault="00A6742C" w:rsidP="00A6742C">
      <w:pPr>
        <w:tabs>
          <w:tab w:val="left" w:pos="720"/>
          <w:tab w:val="left" w:pos="1440"/>
          <w:tab w:val="left" w:pos="2160"/>
        </w:tabs>
        <w:rPr>
          <w:b/>
          <w:u w:val="single"/>
        </w:rPr>
      </w:pPr>
    </w:p>
    <w:p w:rsidR="00A6742C" w:rsidRDefault="00A6742C" w:rsidP="00A6742C">
      <w:pPr>
        <w:tabs>
          <w:tab w:val="left" w:pos="720"/>
          <w:tab w:val="left" w:pos="1440"/>
          <w:tab w:val="left" w:pos="2160"/>
        </w:tabs>
      </w:pPr>
      <w:r>
        <w:rPr>
          <w:b/>
          <w:u w:val="single"/>
        </w:rPr>
        <w:t>Administrative Law</w:t>
      </w:r>
    </w:p>
    <w:p w:rsidR="00A6742C" w:rsidRDefault="00A6742C" w:rsidP="00A6742C">
      <w:pPr>
        <w:spacing w:before="60"/>
        <w:rPr>
          <w:i/>
        </w:rPr>
      </w:pPr>
    </w:p>
    <w:p w:rsidR="00A6742C" w:rsidRPr="00565210" w:rsidRDefault="00A6742C" w:rsidP="00A6742C">
      <w:pPr>
        <w:spacing w:before="60"/>
        <w:rPr>
          <w:b/>
          <w:i/>
        </w:rPr>
      </w:pPr>
      <w:r w:rsidRPr="00565210">
        <w:rPr>
          <w:b/>
          <w:i/>
        </w:rPr>
        <w:t>Anderson v. Commissioner of Health</w:t>
      </w:r>
      <w:r w:rsidRPr="00565210">
        <w:rPr>
          <w:b/>
        </w:rPr>
        <w:t xml:space="preserve">, 811 N.W.2d 162 (Minn. App. Jan. 30, 2012), </w:t>
      </w:r>
      <w:r w:rsidRPr="00565210">
        <w:rPr>
          <w:b/>
          <w:i/>
        </w:rPr>
        <w:t xml:space="preserve">review denied </w:t>
      </w:r>
      <w:r w:rsidRPr="00565210">
        <w:rPr>
          <w:b/>
        </w:rPr>
        <w:t>(Minn. Apr. 17, 2012) (A11-0754).</w:t>
      </w:r>
    </w:p>
    <w:p w:rsidR="00A6742C" w:rsidRDefault="00A6742C" w:rsidP="00A6742C">
      <w:pPr>
        <w:tabs>
          <w:tab w:val="left" w:pos="720"/>
          <w:tab w:val="left" w:pos="1440"/>
          <w:tab w:val="left" w:pos="2160"/>
        </w:tabs>
      </w:pPr>
      <w:r>
        <w:tab/>
        <w:t>A health-care worker convicted of criminal sexual conduct and disqualified from providing direct-care health services at state-licensed facilities has no statutory right to have his disqualification reconsidered by the commissioner of health under Minnesota Statutes section 245C.29 to determine whether he poses a risk of harm to patients, because the commissioner has no discretion to set the disqualification aside.</w:t>
      </w:r>
    </w:p>
    <w:p w:rsidR="00A6742C" w:rsidRDefault="00A6742C" w:rsidP="00A6742C">
      <w:pPr>
        <w:tabs>
          <w:tab w:val="left" w:pos="720"/>
          <w:tab w:val="left" w:pos="1440"/>
          <w:tab w:val="left" w:pos="2160"/>
        </w:tabs>
      </w:pPr>
    </w:p>
    <w:p w:rsidR="00A6742C" w:rsidRPr="00565210" w:rsidRDefault="00A6742C" w:rsidP="00A6742C">
      <w:pPr>
        <w:autoSpaceDE w:val="0"/>
        <w:autoSpaceDN w:val="0"/>
        <w:adjustRightInd w:val="0"/>
        <w:rPr>
          <w:b/>
        </w:rPr>
      </w:pPr>
      <w:r w:rsidRPr="00565210">
        <w:rPr>
          <w:b/>
          <w:i/>
          <w:szCs w:val="26"/>
        </w:rPr>
        <w:t>In re Board of Managers of Bois de Sioux Watershed Dist</w:t>
      </w:r>
      <w:r w:rsidRPr="00565210">
        <w:rPr>
          <w:b/>
          <w:szCs w:val="26"/>
        </w:rPr>
        <w:t xml:space="preserve">., </w:t>
      </w:r>
      <w:r w:rsidRPr="00565210">
        <w:rPr>
          <w:b/>
        </w:rPr>
        <w:t>818 N.W.2d 583 (Minn. App. July 23, 2012) (A11-1875).</w:t>
      </w:r>
    </w:p>
    <w:p w:rsidR="00A6742C" w:rsidRDefault="00A6742C" w:rsidP="00A6742C">
      <w:pPr>
        <w:autoSpaceDE w:val="0"/>
        <w:autoSpaceDN w:val="0"/>
        <w:adjustRightInd w:val="0"/>
      </w:pPr>
      <w:r>
        <w:tab/>
        <w:t>In order to acquire jurisdiction to proceed with a redetermination of benefits and damages, a drainage authority must determine that one of the conditions in Minn. Stat. § 103E.351, subd. 1 (2004), has been met.</w:t>
      </w:r>
    </w:p>
    <w:p w:rsidR="00D16583" w:rsidRDefault="00D16583" w:rsidP="00A6742C">
      <w:pPr>
        <w:autoSpaceDE w:val="0"/>
        <w:autoSpaceDN w:val="0"/>
        <w:adjustRightInd w:val="0"/>
      </w:pPr>
    </w:p>
    <w:p w:rsidR="00D16583" w:rsidRPr="00565210" w:rsidRDefault="00D16583" w:rsidP="00D16583">
      <w:pPr>
        <w:widowControl w:val="0"/>
        <w:rPr>
          <w:b/>
        </w:rPr>
      </w:pPr>
      <w:r w:rsidRPr="00565210">
        <w:rPr>
          <w:b/>
          <w:i/>
        </w:rPr>
        <w:t>In re PERA Salary Determinations Affecting Retired &amp; Active Employees of Duluth</w:t>
      </w:r>
      <w:r w:rsidRPr="00565210">
        <w:rPr>
          <w:b/>
        </w:rPr>
        <w:t>, 820 N.W.2d 563 (Minn. App. Aug. 6, 2012) (A11-1330).</w:t>
      </w:r>
    </w:p>
    <w:p w:rsidR="00D16583" w:rsidRPr="00BD5007" w:rsidRDefault="00D16583" w:rsidP="00D16583">
      <w:pPr>
        <w:rPr>
          <w:szCs w:val="26"/>
        </w:rPr>
      </w:pPr>
      <w:r>
        <w:rPr>
          <w:szCs w:val="26"/>
        </w:rPr>
        <w:tab/>
        <w:t>1.</w:t>
      </w:r>
      <w:r>
        <w:rPr>
          <w:szCs w:val="26"/>
        </w:rPr>
        <w:tab/>
      </w:r>
      <w:r w:rsidRPr="00BD5007">
        <w:rPr>
          <w:szCs w:val="26"/>
        </w:rPr>
        <w:t>The Public Employees Retirement Association’s interpretation of Minn. Stat. §</w:t>
      </w:r>
      <w:r>
        <w:rPr>
          <w:szCs w:val="26"/>
        </w:rPr>
        <w:t> </w:t>
      </w:r>
      <w:r w:rsidRPr="00BD5007">
        <w:rPr>
          <w:szCs w:val="26"/>
        </w:rPr>
        <w:t xml:space="preserve">353.01, subd. 10, as it concerns the city’s salary-supplement payments, is invalid because the interpretation is an improper promulgation of a new rule. </w:t>
      </w:r>
      <w:r>
        <w:rPr>
          <w:szCs w:val="26"/>
        </w:rPr>
        <w:t xml:space="preserve"> </w:t>
      </w:r>
      <w:r w:rsidRPr="00BD5007">
        <w:rPr>
          <w:szCs w:val="26"/>
        </w:rPr>
        <w:t>The association’s interpretation of that statute is subject to the rulemaking requirements of the Minnesota Administrative Procedure Act, is inconsistent with the plain meaning of the statute, and is not a longstanding interpretation of the statute.</w:t>
      </w:r>
    </w:p>
    <w:p w:rsidR="00D16583" w:rsidRPr="00772F6B" w:rsidRDefault="00D16583" w:rsidP="00D16583">
      <w:pPr>
        <w:rPr>
          <w:szCs w:val="26"/>
        </w:rPr>
      </w:pPr>
      <w:r>
        <w:rPr>
          <w:szCs w:val="26"/>
        </w:rPr>
        <w:tab/>
        <w:t>2.</w:t>
      </w:r>
      <w:r>
        <w:rPr>
          <w:szCs w:val="26"/>
        </w:rPr>
        <w:tab/>
      </w:r>
      <w:r w:rsidRPr="00BD5007">
        <w:rPr>
          <w:szCs w:val="26"/>
        </w:rPr>
        <w:t>The Public Employees Retirement Association’s interpretation of Minn. Stat. §</w:t>
      </w:r>
      <w:r>
        <w:rPr>
          <w:szCs w:val="26"/>
        </w:rPr>
        <w:t> </w:t>
      </w:r>
      <w:r w:rsidRPr="00BD5007">
        <w:rPr>
          <w:szCs w:val="26"/>
        </w:rPr>
        <w:t xml:space="preserve">353.01, subd. 10(b)(2), as it concerns the city’s insurance-supplement payments, is not an improperly promulgated new rule. </w:t>
      </w:r>
      <w:r>
        <w:rPr>
          <w:szCs w:val="26"/>
        </w:rPr>
        <w:t xml:space="preserve"> </w:t>
      </w:r>
      <w:r w:rsidRPr="00BD5007">
        <w:rPr>
          <w:szCs w:val="26"/>
        </w:rPr>
        <w:t>The association’s interpretation of that statute is consistent with the plain meaning of the statute.</w:t>
      </w:r>
    </w:p>
    <w:p w:rsidR="00A6742C" w:rsidRDefault="00A6742C" w:rsidP="00A6742C">
      <w:pPr>
        <w:tabs>
          <w:tab w:val="left" w:pos="720"/>
          <w:tab w:val="left" w:pos="1440"/>
          <w:tab w:val="left" w:pos="2160"/>
        </w:tabs>
      </w:pPr>
    </w:p>
    <w:p w:rsidR="00A6742C" w:rsidRDefault="00A6742C" w:rsidP="00A6742C">
      <w:pPr>
        <w:tabs>
          <w:tab w:val="left" w:pos="720"/>
          <w:tab w:val="left" w:pos="1440"/>
          <w:tab w:val="left" w:pos="2160"/>
        </w:tabs>
        <w:rPr>
          <w:b/>
          <w:u w:val="single"/>
        </w:rPr>
      </w:pPr>
    </w:p>
    <w:p w:rsidR="00A6742C" w:rsidRDefault="00A6742C" w:rsidP="00A6742C">
      <w:pPr>
        <w:tabs>
          <w:tab w:val="left" w:pos="720"/>
          <w:tab w:val="left" w:pos="1440"/>
          <w:tab w:val="left" w:pos="2160"/>
        </w:tabs>
      </w:pPr>
      <w:r>
        <w:rPr>
          <w:b/>
          <w:u w:val="single"/>
        </w:rPr>
        <w:t>Alternative Dispute Resolution</w:t>
      </w:r>
    </w:p>
    <w:p w:rsidR="00A6742C" w:rsidRDefault="00A6742C" w:rsidP="00A6742C">
      <w:pPr>
        <w:tabs>
          <w:tab w:val="left" w:pos="720"/>
          <w:tab w:val="left" w:pos="1440"/>
          <w:tab w:val="left" w:pos="2160"/>
        </w:tabs>
      </w:pPr>
    </w:p>
    <w:p w:rsidR="00A6742C" w:rsidRPr="00565210" w:rsidRDefault="00A6742C" w:rsidP="00A6742C">
      <w:pPr>
        <w:tabs>
          <w:tab w:val="left" w:pos="720"/>
          <w:tab w:val="left" w:pos="1440"/>
          <w:tab w:val="left" w:pos="2160"/>
        </w:tabs>
        <w:rPr>
          <w:b/>
        </w:rPr>
      </w:pPr>
      <w:r w:rsidRPr="00565210">
        <w:rPr>
          <w:b/>
          <w:i/>
        </w:rPr>
        <w:t>Garlyn, Inc. v. Auto-Owners Ins. Co.</w:t>
      </w:r>
      <w:r w:rsidRPr="00565210">
        <w:rPr>
          <w:b/>
        </w:rPr>
        <w:t>, 814 N.W.2d 709 (Minn. App. Mar. 26, 2012) (A11-1520).</w:t>
      </w:r>
    </w:p>
    <w:p w:rsidR="00A6742C" w:rsidRDefault="00A6742C" w:rsidP="00A6742C">
      <w:pPr>
        <w:pStyle w:val="ListParagraph"/>
        <w:numPr>
          <w:ilvl w:val="0"/>
          <w:numId w:val="18"/>
        </w:numPr>
        <w:spacing w:line="240" w:lineRule="auto"/>
        <w:ind w:left="0" w:firstLine="720"/>
        <w:jc w:val="both"/>
      </w:pPr>
      <w:r>
        <w:t>The determination of whether amounts billed and amounts paid for auto-glass repair or replacement constitutes “the necessary cost, at local prices, to repair or replace the property or damaged parts with material of similar kind and quality” is a question of fact to be conclusively determined by the arbitrator.</w:t>
      </w:r>
    </w:p>
    <w:p w:rsidR="00A6742C" w:rsidRDefault="00A6742C" w:rsidP="00A6742C">
      <w:pPr>
        <w:pStyle w:val="ListParagraph"/>
        <w:numPr>
          <w:ilvl w:val="0"/>
          <w:numId w:val="18"/>
        </w:numPr>
        <w:spacing w:line="240" w:lineRule="auto"/>
        <w:ind w:left="0" w:firstLine="720"/>
        <w:jc w:val="both"/>
      </w:pPr>
      <w:r>
        <w:lastRenderedPageBreak/>
        <w:t>The amount of the award on each individual claim, rather than the award representing the total of such awards made in an arbitration of consolidated  individual claims, determines eligibility for preaward interest under Minn. Stat. § 549.09, subd. 1(b)(4) (2010).</w:t>
      </w:r>
    </w:p>
    <w:p w:rsidR="00A6742C" w:rsidRDefault="00A6742C" w:rsidP="00A6742C">
      <w:pPr>
        <w:tabs>
          <w:tab w:val="left" w:pos="720"/>
          <w:tab w:val="left" w:pos="1440"/>
          <w:tab w:val="left" w:pos="2160"/>
        </w:tabs>
      </w:pPr>
    </w:p>
    <w:p w:rsidR="00A6742C" w:rsidRDefault="00A6742C" w:rsidP="00A6742C">
      <w:pPr>
        <w:tabs>
          <w:tab w:val="left" w:pos="720"/>
          <w:tab w:val="left" w:pos="1440"/>
          <w:tab w:val="left" w:pos="2160"/>
        </w:tabs>
      </w:pPr>
    </w:p>
    <w:p w:rsidR="00A6742C" w:rsidRDefault="00A6742C" w:rsidP="00A6742C">
      <w:pPr>
        <w:tabs>
          <w:tab w:val="left" w:pos="720"/>
          <w:tab w:val="left" w:pos="1440"/>
          <w:tab w:val="left" w:pos="2160"/>
        </w:tabs>
      </w:pPr>
      <w:r>
        <w:rPr>
          <w:b/>
          <w:u w:val="single"/>
        </w:rPr>
        <w:t>Appellate Procedure</w:t>
      </w:r>
    </w:p>
    <w:p w:rsidR="00A6742C" w:rsidRDefault="00A6742C" w:rsidP="00A6742C">
      <w:pPr>
        <w:tabs>
          <w:tab w:val="left" w:pos="720"/>
          <w:tab w:val="left" w:pos="1440"/>
          <w:tab w:val="left" w:pos="2160"/>
        </w:tabs>
      </w:pPr>
    </w:p>
    <w:p w:rsidR="00A6742C" w:rsidRPr="00565210" w:rsidRDefault="00A6742C" w:rsidP="00A6742C">
      <w:pPr>
        <w:rPr>
          <w:b/>
        </w:rPr>
      </w:pPr>
      <w:r w:rsidRPr="00565210">
        <w:rPr>
          <w:b/>
          <w:i/>
        </w:rPr>
        <w:t>In re Welfare of Child of T.L.M. &amp; M.J.S.</w:t>
      </w:r>
      <w:r w:rsidRPr="00565210">
        <w:rPr>
          <w:b/>
        </w:rPr>
        <w:t>, 804 N.W.2d 374 (Minn. App. Oct. 3, 2011) (A11-1323).</w:t>
      </w:r>
    </w:p>
    <w:p w:rsidR="00A6742C" w:rsidRPr="00E258FD" w:rsidRDefault="00A6742C" w:rsidP="00A6742C">
      <w:r>
        <w:tab/>
      </w:r>
      <w:r w:rsidRPr="00E258FD">
        <w:t>An appeal from a final, appealable order in a juvenile-protection proceeding must be served and filed within 20 days, as provided by Minn. R. Juv. Prot. P. 47.02, subd. 2. The 30-day provision of Minn. Stat. sec. 260C.415, subd. 1 (2010) does not apply.  </w:t>
      </w:r>
    </w:p>
    <w:p w:rsidR="00A6742C" w:rsidRDefault="00A6742C" w:rsidP="00A6742C">
      <w:pPr>
        <w:tabs>
          <w:tab w:val="left" w:pos="720"/>
          <w:tab w:val="left" w:pos="1440"/>
          <w:tab w:val="left" w:pos="2160"/>
        </w:tabs>
      </w:pPr>
    </w:p>
    <w:p w:rsidR="00A6742C" w:rsidRPr="00565210" w:rsidRDefault="00A6742C" w:rsidP="00A6742C">
      <w:pPr>
        <w:rPr>
          <w:b/>
        </w:rPr>
      </w:pPr>
      <w:r w:rsidRPr="00565210">
        <w:rPr>
          <w:b/>
          <w:i/>
        </w:rPr>
        <w:t>Aon Corp. v. Haskins</w:t>
      </w:r>
      <w:r w:rsidRPr="00565210">
        <w:rPr>
          <w:b/>
        </w:rPr>
        <w:t>, 817 N.W.2d 737 (Minn. App. June 27, 2012) (A12-0495).</w:t>
      </w:r>
    </w:p>
    <w:p w:rsidR="00A6742C" w:rsidRDefault="00A6742C" w:rsidP="00A6742C">
      <w:r>
        <w:tab/>
      </w:r>
      <w:r w:rsidRPr="00E258FD">
        <w:t>In a civil appeal in which immediate appellate review of a nonfinal order is properly based on the collateral order doctrine, a party to a district court action that is neither an appellant nor a respondent on appeal but is aligned with an appellant may not obtain immediate appellate review of an otherwise nonappealable order by filing a notice of related appeal pursuant to Minn. R. Civ. App. P. 103.02, subd. 2, unless the nonappealable order presents issues that are inextricably intertwined with issues properly presented by</w:t>
      </w:r>
      <w:r>
        <w:t xml:space="preserve"> an</w:t>
      </w:r>
      <w:r w:rsidRPr="00E258FD">
        <w:t xml:space="preserve"> appellant’s appeal. </w:t>
      </w:r>
    </w:p>
    <w:p w:rsidR="00D16583" w:rsidRDefault="00D16583" w:rsidP="00A6742C"/>
    <w:p w:rsidR="00D16583" w:rsidRPr="00565210" w:rsidRDefault="00D16583" w:rsidP="00D16583">
      <w:pPr>
        <w:spacing w:before="60"/>
        <w:rPr>
          <w:b/>
          <w:i/>
        </w:rPr>
      </w:pPr>
      <w:r w:rsidRPr="00565210">
        <w:rPr>
          <w:b/>
          <w:i/>
        </w:rPr>
        <w:t>Haugen v. Superior Dev., Inc.</w:t>
      </w:r>
      <w:r w:rsidRPr="00565210">
        <w:rPr>
          <w:b/>
        </w:rPr>
        <w:t>, 819 N.W.2d 715 (Minn. App. Aug 6, 2012) (A11-1888).</w:t>
      </w:r>
    </w:p>
    <w:p w:rsidR="00D16583" w:rsidRDefault="00D16583" w:rsidP="00D16583">
      <w:pPr>
        <w:ind w:firstLine="720"/>
      </w:pPr>
      <w:r>
        <w:t>2.</w:t>
      </w:r>
      <w:r>
        <w:tab/>
        <w:t>Corporations must be represented by legal counsel when appearing before the Minnesota Court of Appeals.</w:t>
      </w:r>
    </w:p>
    <w:p w:rsidR="00D16583" w:rsidRPr="002F2EA7" w:rsidRDefault="00D16583" w:rsidP="00D16583">
      <w:pPr>
        <w:ind w:firstLine="720"/>
      </w:pPr>
      <w:r>
        <w:t xml:space="preserve">(See page </w:t>
      </w:r>
      <w:r w:rsidR="004F77A4">
        <w:t>4</w:t>
      </w:r>
      <w:r>
        <w:t xml:space="preserve"> for the first and third syllabus points for this case.)</w:t>
      </w:r>
    </w:p>
    <w:p w:rsidR="00A6742C" w:rsidRPr="00E258FD" w:rsidRDefault="00A6742C" w:rsidP="00A6742C">
      <w:pPr>
        <w:tabs>
          <w:tab w:val="left" w:pos="720"/>
          <w:tab w:val="left" w:pos="1440"/>
          <w:tab w:val="left" w:pos="2160"/>
        </w:tabs>
      </w:pPr>
    </w:p>
    <w:p w:rsidR="00A6742C" w:rsidRPr="00E258FD" w:rsidRDefault="00A6742C" w:rsidP="00A6742C"/>
    <w:p w:rsidR="00A6742C" w:rsidRPr="00D61257" w:rsidRDefault="00A6742C" w:rsidP="00A6742C">
      <w:pPr>
        <w:rPr>
          <w:szCs w:val="26"/>
        </w:rPr>
      </w:pPr>
      <w:r w:rsidRPr="00D61257">
        <w:rPr>
          <w:b/>
          <w:szCs w:val="26"/>
          <w:u w:val="single"/>
        </w:rPr>
        <w:t>Child Protection</w:t>
      </w:r>
    </w:p>
    <w:p w:rsidR="00A6742C" w:rsidRDefault="00A6742C" w:rsidP="00A6742C"/>
    <w:p w:rsidR="00A6742C" w:rsidRPr="00565210" w:rsidRDefault="00A6742C" w:rsidP="00A6742C">
      <w:pPr>
        <w:widowControl w:val="0"/>
        <w:rPr>
          <w:b/>
        </w:rPr>
      </w:pPr>
      <w:r w:rsidRPr="00565210">
        <w:rPr>
          <w:b/>
          <w:i/>
        </w:rPr>
        <w:t>In re Welfare of Child of M.K. &amp; T.K.</w:t>
      </w:r>
      <w:r w:rsidRPr="00565210">
        <w:rPr>
          <w:b/>
        </w:rPr>
        <w:t>, 805 N.W.2d 856 (Minn. App. Sept. 6, 2011) (A11-0553, A11-0554).</w:t>
      </w:r>
    </w:p>
    <w:p w:rsidR="00A6742C" w:rsidRDefault="00A6742C" w:rsidP="00A6742C">
      <w:pPr>
        <w:pStyle w:val="Default"/>
        <w:jc w:val="both"/>
        <w:rPr>
          <w:color w:val="auto"/>
          <w:sz w:val="26"/>
          <w:szCs w:val="26"/>
        </w:rPr>
      </w:pPr>
      <w:r>
        <w:rPr>
          <w:sz w:val="26"/>
          <w:szCs w:val="26"/>
        </w:rPr>
        <w:tab/>
      </w:r>
      <w:r w:rsidRPr="001F223F">
        <w:rPr>
          <w:sz w:val="26"/>
          <w:szCs w:val="26"/>
        </w:rPr>
        <w:t xml:space="preserve">A juvenile court abuses its discretion by denying parents’ motions brought under Minn. R. Juv. Prot. P. 35.03, subd. 5(a), to withdraw their admissions to a petition alleging that their child is in need of protection or services when the admissions were coerced by the county’s demand that parents admit to the petition in order for their child to receive needed services, the nature of the statutory grounds set forth in the petition was </w:t>
      </w:r>
      <w:r w:rsidRPr="001F223F">
        <w:rPr>
          <w:color w:val="auto"/>
          <w:sz w:val="26"/>
          <w:szCs w:val="26"/>
        </w:rPr>
        <w:t xml:space="preserve">misrepresented to parents, and no evidence or admission established the child’s need for </w:t>
      </w:r>
      <w:r w:rsidRPr="001F223F">
        <w:rPr>
          <w:color w:val="auto"/>
          <w:sz w:val="26"/>
          <w:szCs w:val="26"/>
        </w:rPr>
        <w:lastRenderedPageBreak/>
        <w:t>protection or services as a result of the existence of the statutory ground for the petition described to parents.</w:t>
      </w:r>
    </w:p>
    <w:p w:rsidR="00F20F70" w:rsidRPr="001F223F" w:rsidRDefault="00F20F70" w:rsidP="00A6742C">
      <w:pPr>
        <w:pStyle w:val="Default"/>
        <w:jc w:val="both"/>
        <w:rPr>
          <w:sz w:val="26"/>
          <w:szCs w:val="26"/>
        </w:rPr>
      </w:pPr>
    </w:p>
    <w:p w:rsidR="00A6742C" w:rsidRPr="00565210" w:rsidRDefault="00A6742C" w:rsidP="00A6742C">
      <w:pPr>
        <w:tabs>
          <w:tab w:val="left" w:pos="720"/>
          <w:tab w:val="left" w:pos="1440"/>
        </w:tabs>
        <w:rPr>
          <w:b/>
        </w:rPr>
      </w:pPr>
      <w:r w:rsidRPr="00565210">
        <w:rPr>
          <w:b/>
          <w:i/>
        </w:rPr>
        <w:t>In re Welfare of Children of J.R.B. &amp; J.D.B.</w:t>
      </w:r>
      <w:r w:rsidRPr="00565210">
        <w:rPr>
          <w:b/>
        </w:rPr>
        <w:t xml:space="preserve">, 805 N.W.2d 895 (Minn. App. Oct. 25, 2011), </w:t>
      </w:r>
      <w:r w:rsidRPr="00565210">
        <w:rPr>
          <w:b/>
          <w:i/>
        </w:rPr>
        <w:t>review denied</w:t>
      </w:r>
      <w:r w:rsidRPr="00565210">
        <w:rPr>
          <w:b/>
        </w:rPr>
        <w:t xml:space="preserve"> (Minn. Jan. 6, 2012) (A11-0604, A11-0615).</w:t>
      </w:r>
    </w:p>
    <w:p w:rsidR="00A6742C" w:rsidRDefault="00A6742C" w:rsidP="00A6742C">
      <w:pPr>
        <w:pStyle w:val="Heading1"/>
        <w:keepNext w:val="0"/>
        <w:rPr>
          <w:b w:val="0"/>
          <w:szCs w:val="26"/>
        </w:rPr>
      </w:pPr>
      <w:r>
        <w:rPr>
          <w:b w:val="0"/>
          <w:szCs w:val="26"/>
        </w:rPr>
        <w:tab/>
        <w:t>In termination of parental rights proceedings, appellate courts review the district court’s findings of the underlying or basic facts to determine whether, in light of the clear-and-convincing evidence standard of review, those findings are clearly erroneous; appellate courts review the district court’s findings of “ultimate facts” for an abuse of discretion.</w:t>
      </w:r>
    </w:p>
    <w:p w:rsidR="00A6742C" w:rsidRDefault="00A6742C" w:rsidP="00A6742C"/>
    <w:p w:rsidR="00A6742C" w:rsidRPr="00565210" w:rsidRDefault="00A6742C" w:rsidP="00A6742C">
      <w:pPr>
        <w:rPr>
          <w:b/>
        </w:rPr>
      </w:pPr>
      <w:r w:rsidRPr="00565210">
        <w:rPr>
          <w:b/>
          <w:i/>
        </w:rPr>
        <w:t>In re Welfare of Child of J.W. &amp; G.P.</w:t>
      </w:r>
      <w:r w:rsidRPr="00565210">
        <w:rPr>
          <w:b/>
        </w:rPr>
        <w:t xml:space="preserve">, 807 N.W.2d 441 (Minn. App. Nov. 28, 2011), </w:t>
      </w:r>
      <w:r w:rsidRPr="00565210">
        <w:rPr>
          <w:b/>
          <w:i/>
        </w:rPr>
        <w:t>review denied</w:t>
      </w:r>
      <w:r w:rsidRPr="00565210">
        <w:rPr>
          <w:b/>
        </w:rPr>
        <w:t xml:space="preserve"> (Minn. Jan. 6, 2012) (A11-0814).</w:t>
      </w:r>
    </w:p>
    <w:p w:rsidR="00A6742C" w:rsidRPr="008F67CC" w:rsidRDefault="00A6742C" w:rsidP="00A6742C">
      <w:pPr>
        <w:ind w:firstLine="720"/>
      </w:pPr>
      <w:r>
        <w:t>A parent may rebut t</w:t>
      </w:r>
      <w:r w:rsidRPr="00D4602D">
        <w:t xml:space="preserve">he statutory presumption of palpable unfitness </w:t>
      </w:r>
      <w:r>
        <w:t xml:space="preserve">in </w:t>
      </w:r>
      <w:r w:rsidRPr="005C49CE">
        <w:t>Minn. Stat. §</w:t>
      </w:r>
      <w:r>
        <w:t> 260C.301, subd. 1(b)(4) (2010),</w:t>
      </w:r>
      <w:r w:rsidRPr="00D4602D">
        <w:t xml:space="preserve"> </w:t>
      </w:r>
      <w:r>
        <w:t xml:space="preserve">which is triggered if the parent’s parental rights to one or more other children previously were </w:t>
      </w:r>
      <w:r w:rsidRPr="00D4602D">
        <w:t>involuntar</w:t>
      </w:r>
      <w:r>
        <w:t>il</w:t>
      </w:r>
      <w:r w:rsidRPr="00D4602D">
        <w:t>y terminat</w:t>
      </w:r>
      <w:r>
        <w:t xml:space="preserve">ed, by </w:t>
      </w:r>
      <w:r w:rsidRPr="00D4602D">
        <w:t>introduc</w:t>
      </w:r>
      <w:r>
        <w:t xml:space="preserve">ing </w:t>
      </w:r>
      <w:r w:rsidRPr="00D4602D">
        <w:t xml:space="preserve">evidence </w:t>
      </w:r>
      <w:r>
        <w:t>that would justify</w:t>
      </w:r>
      <w:r w:rsidRPr="00D4602D">
        <w:t xml:space="preserve"> a finding </w:t>
      </w:r>
      <w:r>
        <w:t>that the parent now is not palpably unfit</w:t>
      </w:r>
      <w:r w:rsidRPr="00D4602D">
        <w:t>.</w:t>
      </w:r>
    </w:p>
    <w:p w:rsidR="00A6742C" w:rsidRPr="00711F5A" w:rsidRDefault="00A6742C" w:rsidP="00A6742C">
      <w:pPr>
        <w:tabs>
          <w:tab w:val="left" w:pos="720"/>
          <w:tab w:val="left" w:pos="1440"/>
        </w:tabs>
      </w:pPr>
    </w:p>
    <w:p w:rsidR="00A6742C" w:rsidRPr="00565210" w:rsidRDefault="00A6742C" w:rsidP="00A6742C">
      <w:pPr>
        <w:tabs>
          <w:tab w:val="left" w:pos="720"/>
          <w:tab w:val="left" w:pos="1440"/>
        </w:tabs>
        <w:rPr>
          <w:b/>
        </w:rPr>
      </w:pPr>
      <w:r w:rsidRPr="00565210">
        <w:rPr>
          <w:b/>
          <w:i/>
        </w:rPr>
        <w:t>In re Welfare of Child of E.A.C.</w:t>
      </w:r>
      <w:r w:rsidRPr="00565210">
        <w:rPr>
          <w:b/>
        </w:rPr>
        <w:t xml:space="preserve">, 812 N.W.2d 165 (Minn. App. Feb. 21, 2012), </w:t>
      </w:r>
      <w:r w:rsidRPr="00565210">
        <w:rPr>
          <w:b/>
          <w:i/>
        </w:rPr>
        <w:t xml:space="preserve">review denied </w:t>
      </w:r>
      <w:r w:rsidRPr="00565210">
        <w:rPr>
          <w:b/>
        </w:rPr>
        <w:t>(Minn. Mar. 27, 2012) (A11-1562).</w:t>
      </w:r>
    </w:p>
    <w:p w:rsidR="00A6742C" w:rsidRPr="00294673" w:rsidRDefault="00A6742C" w:rsidP="00A6742C">
      <w:pPr>
        <w:tabs>
          <w:tab w:val="left" w:pos="720"/>
          <w:tab w:val="left" w:pos="1440"/>
        </w:tabs>
        <w:ind w:firstLine="720"/>
      </w:pPr>
      <w:r w:rsidRPr="008E33CC">
        <w:t>When a petition for return of custody under the Indian Child Welfare Act (ICWA), 25 U.S.C. § 1916(a) (2006), is challenged, the district court must apply all subsections of 25 U.S.C. § 1912 (2006) to determine whether reuniting the child and parent is not in the child's best interests.</w:t>
      </w:r>
    </w:p>
    <w:p w:rsidR="00A6742C" w:rsidRDefault="00A6742C" w:rsidP="00A6742C"/>
    <w:p w:rsidR="00A6742C" w:rsidRPr="00565210" w:rsidRDefault="00A6742C" w:rsidP="00A6742C">
      <w:pPr>
        <w:tabs>
          <w:tab w:val="left" w:pos="720"/>
          <w:tab w:val="left" w:pos="1440"/>
        </w:tabs>
        <w:rPr>
          <w:b/>
        </w:rPr>
      </w:pPr>
      <w:r w:rsidRPr="00565210">
        <w:rPr>
          <w:b/>
          <w:i/>
        </w:rPr>
        <w:t>In re Welfare of Child of J.K.T.</w:t>
      </w:r>
      <w:r w:rsidRPr="00565210">
        <w:rPr>
          <w:b/>
        </w:rPr>
        <w:t xml:space="preserve"> </w:t>
      </w:r>
      <w:r w:rsidRPr="00565210">
        <w:rPr>
          <w:b/>
          <w:i/>
        </w:rPr>
        <w:t>&amp; A.M.</w:t>
      </w:r>
      <w:r w:rsidRPr="00565210">
        <w:rPr>
          <w:b/>
        </w:rPr>
        <w:t>, 814 N.W.2d 76 (Minn. App. May 21, 2012) (A11-1576).</w:t>
      </w:r>
    </w:p>
    <w:p w:rsidR="00A6742C" w:rsidRPr="00C73BD7" w:rsidRDefault="00A6742C" w:rsidP="00A6742C">
      <w:pPr>
        <w:tabs>
          <w:tab w:val="left" w:pos="720"/>
          <w:tab w:val="left" w:pos="1440"/>
        </w:tabs>
      </w:pPr>
      <w:r w:rsidRPr="00C73BD7">
        <w:tab/>
        <w:t>When a child dies pending appeal of a fin</w:t>
      </w:r>
      <w:r>
        <w:t>al order terminating his mother’</w:t>
      </w:r>
      <w:r w:rsidRPr="00C73BD7">
        <w:t>s parental rights, the appeal remains ripe for review under the collateral consequences exception to the mootness doctrine.</w:t>
      </w:r>
      <w:r w:rsidR="00D16583">
        <w:t xml:space="preserve"> </w:t>
      </w:r>
      <w:r w:rsidRPr="00C73BD7">
        <w:t xml:space="preserve"> The doctrine of abatement, which has not been adopted by the Minnesota Legislature or our supreme court, does not apply to a termination-of-parental-rights appeal.</w:t>
      </w:r>
    </w:p>
    <w:p w:rsidR="00A6742C" w:rsidRDefault="00A6742C" w:rsidP="00A6742C">
      <w:pPr>
        <w:rPr>
          <w:i/>
        </w:rPr>
      </w:pPr>
    </w:p>
    <w:p w:rsidR="00A6742C" w:rsidRPr="00421D8E" w:rsidRDefault="00A6742C" w:rsidP="00A6742C"/>
    <w:p w:rsidR="00A6742C" w:rsidRDefault="00A6742C" w:rsidP="00A6742C">
      <w:pPr>
        <w:rPr>
          <w:b/>
          <w:u w:val="single"/>
        </w:rPr>
      </w:pPr>
      <w:r w:rsidRPr="00BA7A00">
        <w:rPr>
          <w:b/>
          <w:u w:val="single"/>
        </w:rPr>
        <w:t>Civil Procedure</w:t>
      </w:r>
    </w:p>
    <w:p w:rsidR="00A6742C" w:rsidRDefault="00A6742C" w:rsidP="00A6742C">
      <w:pPr>
        <w:autoSpaceDE w:val="0"/>
        <w:autoSpaceDN w:val="0"/>
        <w:adjustRightInd w:val="0"/>
        <w:rPr>
          <w:szCs w:val="26"/>
        </w:rPr>
      </w:pPr>
    </w:p>
    <w:p w:rsidR="00A6742C" w:rsidRPr="00565210" w:rsidRDefault="00A6742C" w:rsidP="00A6742C">
      <w:pPr>
        <w:autoSpaceDE w:val="0"/>
        <w:autoSpaceDN w:val="0"/>
        <w:adjustRightInd w:val="0"/>
        <w:rPr>
          <w:b/>
          <w:szCs w:val="26"/>
        </w:rPr>
      </w:pPr>
      <w:r w:rsidRPr="00565210">
        <w:rPr>
          <w:b/>
          <w:i/>
          <w:szCs w:val="26"/>
        </w:rPr>
        <w:t>Moen v. Sunstone Hotel Props., Inc.</w:t>
      </w:r>
      <w:r w:rsidRPr="00565210">
        <w:rPr>
          <w:b/>
          <w:szCs w:val="26"/>
        </w:rPr>
        <w:t xml:space="preserve">, 818 N.W.2d 573 (Minn. App. July 23, 2012), </w:t>
      </w:r>
      <w:r w:rsidRPr="00565210">
        <w:rPr>
          <w:b/>
          <w:i/>
          <w:szCs w:val="26"/>
        </w:rPr>
        <w:t xml:space="preserve">review denied </w:t>
      </w:r>
      <w:r w:rsidRPr="00565210">
        <w:rPr>
          <w:b/>
          <w:szCs w:val="26"/>
        </w:rPr>
        <w:t>(Minn. Oct. 16, 2012) (A11-1093).</w:t>
      </w:r>
    </w:p>
    <w:p w:rsidR="00A6742C" w:rsidRPr="00EE52E5" w:rsidRDefault="00A6742C" w:rsidP="00A6742C">
      <w:pPr>
        <w:autoSpaceDE w:val="0"/>
        <w:autoSpaceDN w:val="0"/>
        <w:adjustRightInd w:val="0"/>
        <w:ind w:firstLine="720"/>
        <w:rPr>
          <w:szCs w:val="26"/>
        </w:rPr>
      </w:pPr>
      <w:r w:rsidRPr="00BA7A00">
        <w:rPr>
          <w:szCs w:val="26"/>
        </w:rPr>
        <w:t xml:space="preserve">A motion for a new trial not heard within 60 days under Minn. R. Civ. P. 59.03 may be dismissed by the district court; dismissal of a motion for a new trial for failure to </w:t>
      </w:r>
      <w:r w:rsidRPr="00BA7A00">
        <w:rPr>
          <w:szCs w:val="26"/>
        </w:rPr>
        <w:lastRenderedPageBreak/>
        <w:t>schedule a timely hearing limits the scope of appellate review to substantive questions of law.</w:t>
      </w:r>
    </w:p>
    <w:p w:rsidR="00A6742C" w:rsidRDefault="00A6742C" w:rsidP="00A6742C">
      <w:pPr>
        <w:rPr>
          <w:b/>
          <w:u w:val="single"/>
        </w:rPr>
      </w:pPr>
    </w:p>
    <w:p w:rsidR="002D40C1" w:rsidRDefault="002D40C1" w:rsidP="00A6742C">
      <w:pPr>
        <w:rPr>
          <w:b/>
          <w:u w:val="single"/>
        </w:rPr>
      </w:pPr>
    </w:p>
    <w:p w:rsidR="00A6742C" w:rsidRDefault="00A6742C" w:rsidP="00A6742C">
      <w:pPr>
        <w:rPr>
          <w:b/>
          <w:u w:val="single"/>
        </w:rPr>
      </w:pPr>
      <w:r>
        <w:rPr>
          <w:b/>
          <w:u w:val="single"/>
        </w:rPr>
        <w:t>Constitutional Law</w:t>
      </w:r>
    </w:p>
    <w:p w:rsidR="00A6742C" w:rsidRPr="00F91CF9" w:rsidRDefault="00A6742C" w:rsidP="00A6742C">
      <w:pPr>
        <w:rPr>
          <w:b/>
          <w:u w:val="single"/>
        </w:rPr>
      </w:pPr>
    </w:p>
    <w:p w:rsidR="00A6742C" w:rsidRPr="00565210" w:rsidRDefault="00D16583" w:rsidP="00A6742C">
      <w:pPr>
        <w:widowControl w:val="0"/>
        <w:rPr>
          <w:b/>
        </w:rPr>
      </w:pPr>
      <w:r w:rsidRPr="00565210">
        <w:rPr>
          <w:b/>
          <w:i/>
        </w:rPr>
        <w:t>In re Rental Dwelling License H</w:t>
      </w:r>
      <w:r w:rsidR="00A6742C" w:rsidRPr="00565210">
        <w:rPr>
          <w:b/>
          <w:i/>
        </w:rPr>
        <w:t>eld by Khan</w:t>
      </w:r>
      <w:r w:rsidR="00A6742C" w:rsidRPr="00565210">
        <w:rPr>
          <w:b/>
        </w:rPr>
        <w:t>, 804 N.W.2d 132 (Minn. App. Sept. 6, 2011) (A10-2211).</w:t>
      </w:r>
    </w:p>
    <w:p w:rsidR="00A6742C" w:rsidRDefault="00A6742C" w:rsidP="00D16583">
      <w:pPr>
        <w:pStyle w:val="Heading1"/>
        <w:keepNext w:val="0"/>
        <w:tabs>
          <w:tab w:val="left" w:pos="720"/>
        </w:tabs>
        <w:rPr>
          <w:b w:val="0"/>
          <w:szCs w:val="26"/>
        </w:rPr>
      </w:pPr>
      <w:r>
        <w:rPr>
          <w:b w:val="0"/>
          <w:szCs w:val="26"/>
        </w:rPr>
        <w:tab/>
      </w:r>
      <w:r w:rsidRPr="00C269E8">
        <w:rPr>
          <w:b w:val="0"/>
          <w:szCs w:val="26"/>
        </w:rPr>
        <w:t>Absent evidence that hearing officers have a direct, personal, substantial pecuniary interest in rendering decisions favorable to the municipality that hires and selects them, a landlord’s due-process rights are not violated when such hearing officers preside over rental-license-revocation hearings.</w:t>
      </w:r>
    </w:p>
    <w:p w:rsidR="00D16583" w:rsidRPr="00D16583" w:rsidRDefault="00D16583" w:rsidP="00D16583"/>
    <w:p w:rsidR="00A6742C" w:rsidRPr="00565210" w:rsidRDefault="00A6742C" w:rsidP="00A6742C">
      <w:pPr>
        <w:spacing w:before="60"/>
        <w:rPr>
          <w:b/>
          <w:i/>
        </w:rPr>
      </w:pPr>
      <w:r w:rsidRPr="00565210">
        <w:rPr>
          <w:b/>
          <w:i/>
        </w:rPr>
        <w:t>Haugen v. Superior Dev., Inc.</w:t>
      </w:r>
      <w:r w:rsidRPr="00565210">
        <w:rPr>
          <w:b/>
        </w:rPr>
        <w:t>, 819 N.W.2d 715 (Minn. App. Aug 6, 2012) (A11-1888).</w:t>
      </w:r>
    </w:p>
    <w:p w:rsidR="00A6742C" w:rsidRPr="00406E7F" w:rsidRDefault="00A6742C" w:rsidP="00A6742C">
      <w:pPr>
        <w:pStyle w:val="Heading1"/>
        <w:keepNext w:val="0"/>
        <w:numPr>
          <w:ilvl w:val="0"/>
          <w:numId w:val="23"/>
        </w:numPr>
        <w:ind w:left="0" w:firstLine="720"/>
        <w:rPr>
          <w:b w:val="0"/>
          <w:szCs w:val="26"/>
        </w:rPr>
      </w:pPr>
      <w:r w:rsidRPr="00406E7F">
        <w:rPr>
          <w:b w:val="0"/>
          <w:szCs w:val="26"/>
        </w:rPr>
        <w:t xml:space="preserve">Limits on the legislature’s authority </w:t>
      </w:r>
      <w:r>
        <w:rPr>
          <w:b w:val="0"/>
          <w:szCs w:val="26"/>
        </w:rPr>
        <w:t xml:space="preserve">to affect the judicial department, </w:t>
      </w:r>
      <w:r w:rsidRPr="00406E7F">
        <w:rPr>
          <w:b w:val="0"/>
          <w:szCs w:val="26"/>
        </w:rPr>
        <w:t xml:space="preserve">arising from </w:t>
      </w:r>
      <w:r>
        <w:rPr>
          <w:b w:val="0"/>
          <w:szCs w:val="26"/>
        </w:rPr>
        <w:t xml:space="preserve">the </w:t>
      </w:r>
      <w:r w:rsidRPr="00406E7F">
        <w:rPr>
          <w:b w:val="0"/>
          <w:szCs w:val="26"/>
        </w:rPr>
        <w:t>constitution</w:t>
      </w:r>
      <w:r>
        <w:rPr>
          <w:b w:val="0"/>
          <w:szCs w:val="26"/>
        </w:rPr>
        <w:t>’s separation-</w:t>
      </w:r>
      <w:r w:rsidRPr="00406E7F">
        <w:rPr>
          <w:b w:val="0"/>
          <w:szCs w:val="26"/>
        </w:rPr>
        <w:t>of</w:t>
      </w:r>
      <w:r>
        <w:rPr>
          <w:b w:val="0"/>
          <w:szCs w:val="26"/>
        </w:rPr>
        <w:t>-</w:t>
      </w:r>
      <w:r w:rsidRPr="00406E7F">
        <w:rPr>
          <w:b w:val="0"/>
          <w:szCs w:val="26"/>
        </w:rPr>
        <w:t>powers</w:t>
      </w:r>
      <w:r>
        <w:rPr>
          <w:b w:val="0"/>
          <w:szCs w:val="26"/>
        </w:rPr>
        <w:t xml:space="preserve"> provision,</w:t>
      </w:r>
      <w:r w:rsidRPr="00406E7F">
        <w:rPr>
          <w:b w:val="0"/>
          <w:szCs w:val="26"/>
        </w:rPr>
        <w:t xml:space="preserve"> apply to legislation that bears on the Minnesota Court of Appeals notwithstanding its having been established by legislation.</w:t>
      </w:r>
    </w:p>
    <w:p w:rsidR="00D16583" w:rsidRDefault="00A6742C" w:rsidP="00A6742C">
      <w:r>
        <w:tab/>
        <w:t>3.</w:t>
      </w:r>
      <w:r>
        <w:tab/>
        <w:t>The requirement that employers but not unemployed individuals pay fees associated with appeals of unemployment-benefits decisions, under Minnesota Statutes section 268.105, subdivision 7 (2010), does not violate the equal protection clause of the Minnesota Constitution.</w:t>
      </w:r>
    </w:p>
    <w:p w:rsidR="00D16583" w:rsidRPr="002F2EA7" w:rsidRDefault="00D13AE3" w:rsidP="00D16583">
      <w:pPr>
        <w:ind w:firstLine="720"/>
      </w:pPr>
      <w:r>
        <w:t xml:space="preserve">(See page </w:t>
      </w:r>
      <w:r w:rsidR="004F77A4">
        <w:t>2</w:t>
      </w:r>
      <w:r w:rsidR="00D16583">
        <w:t xml:space="preserve"> for second syllabus point for this case.)</w:t>
      </w:r>
    </w:p>
    <w:p w:rsidR="00D16583" w:rsidRDefault="00D16583" w:rsidP="00A6742C"/>
    <w:p w:rsidR="00A6742C" w:rsidRPr="00565210" w:rsidRDefault="00A6742C" w:rsidP="00A6742C">
      <w:pPr>
        <w:rPr>
          <w:b/>
        </w:rPr>
      </w:pPr>
      <w:r w:rsidRPr="00565210">
        <w:rPr>
          <w:b/>
          <w:i/>
        </w:rPr>
        <w:t>Moore v. Hoff</w:t>
      </w:r>
      <w:r w:rsidRPr="00565210">
        <w:rPr>
          <w:b/>
        </w:rPr>
        <w:t>, 821 N.W.2d 591 (Minn. App. Aug. 20, 2012) (A11-1923).</w:t>
      </w:r>
    </w:p>
    <w:p w:rsidR="00A6742C" w:rsidRPr="00E345EF" w:rsidRDefault="00A6742C" w:rsidP="00A6742C">
      <w:pPr>
        <w:ind w:firstLine="720"/>
      </w:pPr>
      <w:r>
        <w:t xml:space="preserve">2. </w:t>
      </w:r>
      <w:r>
        <w:tab/>
        <w:t xml:space="preserve">When speech protected by the First Amendment is intertwined with allegedly tortious conduct, courts must carefully and explicitly delineate the tortious conduct on which liability is based so as not to infringe on a defendant’s constitutional rights.  When there is no practical way to separate the tortious conduct from the protected speech, there is no liability as a matter of law. </w:t>
      </w:r>
    </w:p>
    <w:p w:rsidR="00A6742C" w:rsidRPr="002F2EA7" w:rsidRDefault="00A6742C" w:rsidP="00A6742C">
      <w:pPr>
        <w:ind w:firstLine="720"/>
      </w:pPr>
      <w:r>
        <w:t xml:space="preserve">(See page </w:t>
      </w:r>
      <w:r w:rsidR="00D13AE3">
        <w:t>1</w:t>
      </w:r>
      <w:r w:rsidR="004F77A4">
        <w:t>2</w:t>
      </w:r>
      <w:r>
        <w:t xml:space="preserve"> for first syllabus point for this case.)</w:t>
      </w:r>
    </w:p>
    <w:p w:rsidR="00A6742C" w:rsidRDefault="00A6742C" w:rsidP="00A6742C"/>
    <w:p w:rsidR="00A6742C" w:rsidRDefault="00A6742C" w:rsidP="00A6742C"/>
    <w:p w:rsidR="00A6742C" w:rsidRPr="00BD6A67" w:rsidRDefault="00A6742C" w:rsidP="00A6742C">
      <w:pPr>
        <w:tabs>
          <w:tab w:val="left" w:pos="720"/>
          <w:tab w:val="left" w:pos="1440"/>
          <w:tab w:val="left" w:pos="2160"/>
        </w:tabs>
        <w:rPr>
          <w:b/>
          <w:u w:val="single"/>
        </w:rPr>
      </w:pPr>
      <w:r>
        <w:rPr>
          <w:b/>
          <w:u w:val="single"/>
        </w:rPr>
        <w:t>Contracts</w:t>
      </w:r>
    </w:p>
    <w:p w:rsidR="00A6742C" w:rsidRDefault="00A6742C" w:rsidP="00A6742C">
      <w:pPr>
        <w:suppressAutoHyphens w:val="0"/>
        <w:jc w:val="left"/>
      </w:pPr>
    </w:p>
    <w:p w:rsidR="00A6742C" w:rsidRPr="00565210" w:rsidRDefault="00A6742C" w:rsidP="00A6742C">
      <w:pPr>
        <w:tabs>
          <w:tab w:val="left" w:pos="720"/>
        </w:tabs>
        <w:suppressAutoHyphens w:val="0"/>
        <w:rPr>
          <w:b/>
        </w:rPr>
      </w:pPr>
      <w:r w:rsidRPr="00565210">
        <w:rPr>
          <w:b/>
          <w:i/>
        </w:rPr>
        <w:t>Maday v. Grathwohl</w:t>
      </w:r>
      <w:r w:rsidRPr="00565210">
        <w:rPr>
          <w:b/>
        </w:rPr>
        <w:t>, 805 N.W.2d 285 (Minn. App. Nov. 14, 2011) (A11-0721).</w:t>
      </w:r>
    </w:p>
    <w:p w:rsidR="00A6742C" w:rsidRDefault="00A6742C" w:rsidP="00A6742C">
      <w:pPr>
        <w:tabs>
          <w:tab w:val="left" w:pos="720"/>
        </w:tabs>
        <w:suppressAutoHyphens w:val="0"/>
      </w:pPr>
      <w:r>
        <w:tab/>
        <w:t>A written agreement that includes an integration clause supersedes any preexisting oral agreements concerning the same subject matter.</w:t>
      </w:r>
    </w:p>
    <w:p w:rsidR="00A6742C" w:rsidRDefault="00A6742C" w:rsidP="00A6742C">
      <w:pPr>
        <w:suppressAutoHyphens w:val="0"/>
        <w:jc w:val="left"/>
      </w:pPr>
    </w:p>
    <w:p w:rsidR="00A6742C" w:rsidRPr="00565210" w:rsidRDefault="00A6742C" w:rsidP="00A6742C">
      <w:pPr>
        <w:autoSpaceDE w:val="0"/>
        <w:autoSpaceDN w:val="0"/>
        <w:adjustRightInd w:val="0"/>
        <w:rPr>
          <w:b/>
          <w:szCs w:val="26"/>
        </w:rPr>
      </w:pPr>
      <w:r w:rsidRPr="00565210">
        <w:rPr>
          <w:b/>
          <w:i/>
          <w:szCs w:val="26"/>
        </w:rPr>
        <w:lastRenderedPageBreak/>
        <w:t>NHF Hog Mktg., Inc. v. Pork-Martin, LLP</w:t>
      </w:r>
      <w:r w:rsidRPr="00565210">
        <w:rPr>
          <w:b/>
          <w:szCs w:val="26"/>
        </w:rPr>
        <w:t xml:space="preserve">, 811 N.W.2d 116 (Minn. App. Jan. 3, 2012), </w:t>
      </w:r>
      <w:r w:rsidRPr="00565210">
        <w:rPr>
          <w:b/>
          <w:i/>
          <w:szCs w:val="26"/>
        </w:rPr>
        <w:t xml:space="preserve">review denied </w:t>
      </w:r>
      <w:r w:rsidRPr="00565210">
        <w:rPr>
          <w:b/>
          <w:szCs w:val="26"/>
        </w:rPr>
        <w:t>(Minn. Mar. 20, 2012) (A11-1137).</w:t>
      </w:r>
    </w:p>
    <w:p w:rsidR="00A6742C" w:rsidRDefault="00A6742C" w:rsidP="00A6742C">
      <w:pPr>
        <w:autoSpaceDE w:val="0"/>
        <w:autoSpaceDN w:val="0"/>
        <w:adjustRightInd w:val="0"/>
        <w:ind w:firstLine="720"/>
        <w:rPr>
          <w:szCs w:val="26"/>
        </w:rPr>
      </w:pPr>
      <w:r w:rsidRPr="00854DC2">
        <w:rPr>
          <w:szCs w:val="26"/>
        </w:rPr>
        <w:t>A buyer’s damages under Minn. Stat. § 336.2-713 (2010) are limited to the</w:t>
      </w:r>
      <w:r>
        <w:rPr>
          <w:szCs w:val="26"/>
        </w:rPr>
        <w:t xml:space="preserve"> </w:t>
      </w:r>
      <w:r w:rsidRPr="00854DC2">
        <w:rPr>
          <w:szCs w:val="26"/>
        </w:rPr>
        <w:t>buyer’s actual damages when the breaching seller shows that the buyer’s expected resale profit was less than market-differential damages and the buyer does not show a likelihood that the resale purchaser will enforce the resale contract.</w:t>
      </w:r>
    </w:p>
    <w:p w:rsidR="009D69C0" w:rsidRPr="00854DC2" w:rsidRDefault="009D69C0" w:rsidP="00A6742C">
      <w:pPr>
        <w:autoSpaceDE w:val="0"/>
        <w:autoSpaceDN w:val="0"/>
        <w:adjustRightInd w:val="0"/>
        <w:ind w:firstLine="720"/>
        <w:rPr>
          <w:szCs w:val="26"/>
        </w:rPr>
      </w:pPr>
    </w:p>
    <w:p w:rsidR="00A6742C" w:rsidRPr="00565210" w:rsidRDefault="00A6742C" w:rsidP="00A6742C">
      <w:pPr>
        <w:suppressAutoHyphens w:val="0"/>
        <w:rPr>
          <w:b/>
        </w:rPr>
      </w:pPr>
      <w:r w:rsidRPr="00565210">
        <w:rPr>
          <w:b/>
          <w:i/>
        </w:rPr>
        <w:t>Baker v. Best Buy Stores, LP</w:t>
      </w:r>
      <w:r w:rsidRPr="00565210">
        <w:rPr>
          <w:b/>
        </w:rPr>
        <w:t>, 812 N.W.2d 177 (Minn. App. Feb. 21, 2012),</w:t>
      </w:r>
      <w:r w:rsidRPr="00565210">
        <w:rPr>
          <w:b/>
          <w:i/>
        </w:rPr>
        <w:t xml:space="preserve"> review denied</w:t>
      </w:r>
      <w:r w:rsidRPr="00565210">
        <w:rPr>
          <w:b/>
        </w:rPr>
        <w:t xml:space="preserve"> (Minn. Apr. 25, 2012) (A11-0997).</w:t>
      </w:r>
    </w:p>
    <w:p w:rsidR="00A6742C" w:rsidRDefault="00A6742C" w:rsidP="00A6742C">
      <w:pPr>
        <w:tabs>
          <w:tab w:val="left" w:pos="720"/>
        </w:tabs>
        <w:suppressAutoHyphens w:val="0"/>
      </w:pPr>
      <w:r>
        <w:tab/>
      </w:r>
      <w:r w:rsidRPr="00FC279B">
        <w:t>When provided in its unambiguous language, a service contract on a product expires on the occasion of the seller's decision to replace, rather than repair, the product.</w:t>
      </w:r>
    </w:p>
    <w:p w:rsidR="00A6742C" w:rsidRDefault="00A6742C" w:rsidP="00A6742C">
      <w:pPr>
        <w:tabs>
          <w:tab w:val="left" w:pos="720"/>
        </w:tabs>
        <w:suppressAutoHyphens w:val="0"/>
      </w:pPr>
    </w:p>
    <w:p w:rsidR="00A6742C" w:rsidRPr="00565210" w:rsidRDefault="00A6742C" w:rsidP="00A6742C">
      <w:pPr>
        <w:widowControl w:val="0"/>
        <w:rPr>
          <w:b/>
        </w:rPr>
      </w:pPr>
      <w:r w:rsidRPr="00565210">
        <w:rPr>
          <w:b/>
          <w:i/>
        </w:rPr>
        <w:t>Columbia Cas. Co. v. 3M Co.</w:t>
      </w:r>
      <w:r w:rsidRPr="00565210">
        <w:rPr>
          <w:b/>
        </w:rPr>
        <w:t xml:space="preserve">, 814 N.W.2d 33 (Minn. App. March 26, 2012), </w:t>
      </w:r>
      <w:r w:rsidRPr="00565210">
        <w:rPr>
          <w:b/>
          <w:i/>
        </w:rPr>
        <w:t>review denied</w:t>
      </w:r>
      <w:r w:rsidRPr="00565210">
        <w:rPr>
          <w:b/>
        </w:rPr>
        <w:t xml:space="preserve"> (Minn. June 19, 2012) (A11-1376).</w:t>
      </w:r>
    </w:p>
    <w:p w:rsidR="00A6742C" w:rsidRDefault="00A6742C" w:rsidP="00A6742C">
      <w:pPr>
        <w:pStyle w:val="Default"/>
      </w:pPr>
      <w:r>
        <w:rPr>
          <w:sz w:val="26"/>
          <w:szCs w:val="26"/>
        </w:rPr>
        <w:tab/>
        <w:t>A party may maintain both a claim for breach of contract and a claim for breach of the implied covenant of good faith and fair dealing based on the same conduct.</w:t>
      </w:r>
    </w:p>
    <w:p w:rsidR="00A6742C" w:rsidRDefault="00A6742C" w:rsidP="00A6742C">
      <w:pPr>
        <w:autoSpaceDE w:val="0"/>
        <w:autoSpaceDN w:val="0"/>
        <w:adjustRightInd w:val="0"/>
        <w:rPr>
          <w:i/>
          <w:szCs w:val="26"/>
        </w:rPr>
      </w:pPr>
    </w:p>
    <w:p w:rsidR="00A6742C" w:rsidRPr="00565210" w:rsidRDefault="00A6742C" w:rsidP="00A6742C">
      <w:pPr>
        <w:autoSpaceDE w:val="0"/>
        <w:autoSpaceDN w:val="0"/>
        <w:adjustRightInd w:val="0"/>
        <w:rPr>
          <w:b/>
          <w:szCs w:val="26"/>
        </w:rPr>
      </w:pPr>
      <w:r w:rsidRPr="00565210">
        <w:rPr>
          <w:b/>
          <w:i/>
          <w:szCs w:val="26"/>
        </w:rPr>
        <w:t>Meriwether Minn. Land &amp; Timber, LLC, v. State</w:t>
      </w:r>
      <w:r w:rsidRPr="00565210">
        <w:rPr>
          <w:b/>
          <w:szCs w:val="26"/>
        </w:rPr>
        <w:t xml:space="preserve">, 818 N.W.2d 557 (Minn. App. July 2, 2012), </w:t>
      </w:r>
      <w:r w:rsidRPr="00565210">
        <w:rPr>
          <w:b/>
          <w:i/>
          <w:szCs w:val="26"/>
        </w:rPr>
        <w:t>review denied</w:t>
      </w:r>
      <w:r w:rsidRPr="00565210">
        <w:rPr>
          <w:b/>
          <w:szCs w:val="26"/>
        </w:rPr>
        <w:t xml:space="preserve"> (Minn. Sept. 25, 2012) (A11-2162).</w:t>
      </w:r>
    </w:p>
    <w:p w:rsidR="00A6742C" w:rsidRPr="003A2E79" w:rsidRDefault="00A6742C" w:rsidP="00A6742C">
      <w:pPr>
        <w:autoSpaceDE w:val="0"/>
        <w:autoSpaceDN w:val="0"/>
        <w:adjustRightInd w:val="0"/>
        <w:ind w:firstLine="720"/>
        <w:rPr>
          <w:szCs w:val="26"/>
        </w:rPr>
      </w:pPr>
      <w:r w:rsidRPr="003A2E79">
        <w:rPr>
          <w:szCs w:val="26"/>
        </w:rPr>
        <w:t>The $100,000 limit on 2010 payments (fiscal year 2011) under the Sustainable</w:t>
      </w:r>
      <w:r>
        <w:rPr>
          <w:szCs w:val="26"/>
        </w:rPr>
        <w:t xml:space="preserve"> </w:t>
      </w:r>
      <w:r w:rsidRPr="003A2E79">
        <w:rPr>
          <w:szCs w:val="26"/>
        </w:rPr>
        <w:t>Forest Incentive Act, 2010 Minn. Laws lst Spec. Sess. ch. 1, art. 13, § 4, at 2056, does not breach contractual rights or quasi-contractual rights under promissory estoppel; and does not violate constitutional provisions against impairment of contracts, takings without just compensation, or equal protection.</w:t>
      </w:r>
    </w:p>
    <w:p w:rsidR="00A6742C" w:rsidRDefault="00A6742C" w:rsidP="00A6742C">
      <w:pPr>
        <w:suppressAutoHyphens w:val="0"/>
        <w:jc w:val="left"/>
      </w:pPr>
    </w:p>
    <w:p w:rsidR="00A6742C" w:rsidRPr="00711F5A" w:rsidRDefault="00A6742C" w:rsidP="00A6742C">
      <w:pPr>
        <w:suppressAutoHyphens w:val="0"/>
        <w:jc w:val="left"/>
      </w:pPr>
    </w:p>
    <w:p w:rsidR="00A6742C" w:rsidRDefault="00A6742C" w:rsidP="00A6742C">
      <w:pPr>
        <w:tabs>
          <w:tab w:val="left" w:pos="720"/>
          <w:tab w:val="left" w:pos="1440"/>
          <w:tab w:val="left" w:pos="2160"/>
        </w:tabs>
        <w:rPr>
          <w:bCs/>
        </w:rPr>
      </w:pPr>
      <w:r>
        <w:rPr>
          <w:b/>
          <w:bCs/>
          <w:u w:val="single"/>
        </w:rPr>
        <w:t>Family Law</w:t>
      </w:r>
    </w:p>
    <w:p w:rsidR="00A6742C" w:rsidRDefault="00A6742C" w:rsidP="00A6742C">
      <w:pPr>
        <w:tabs>
          <w:tab w:val="left" w:pos="720"/>
          <w:tab w:val="left" w:pos="1440"/>
          <w:tab w:val="left" w:pos="2160"/>
        </w:tabs>
        <w:rPr>
          <w:bCs/>
        </w:rPr>
      </w:pPr>
    </w:p>
    <w:p w:rsidR="00A6742C" w:rsidRPr="00565210" w:rsidRDefault="00A6742C" w:rsidP="00A6742C">
      <w:pPr>
        <w:widowControl w:val="0"/>
        <w:rPr>
          <w:b/>
        </w:rPr>
      </w:pPr>
      <w:r w:rsidRPr="00565210">
        <w:rPr>
          <w:b/>
          <w:i/>
        </w:rPr>
        <w:t>Nelson v. Nelson</w:t>
      </w:r>
      <w:r w:rsidRPr="00565210">
        <w:rPr>
          <w:b/>
        </w:rPr>
        <w:t>, 806 N.W.2d 870 (Minn. App. Dec. 5, 2011) (A10-2239).</w:t>
      </w:r>
    </w:p>
    <w:p w:rsidR="00A6742C" w:rsidRPr="00BB79CE" w:rsidRDefault="00A6742C" w:rsidP="00A6742C">
      <w:pPr>
        <w:rPr>
          <w:szCs w:val="26"/>
        </w:rPr>
      </w:pPr>
      <w:r>
        <w:rPr>
          <w:szCs w:val="26"/>
        </w:rPr>
        <w:tab/>
      </w:r>
      <w:r w:rsidRPr="00BB79CE">
        <w:rPr>
          <w:szCs w:val="26"/>
        </w:rPr>
        <w:t>To enforce a marriage-dissolution judgment that awards one party a lien for a specific monetary amount payable at a particular time which the other party fails to pay, the district court has discretion to enter a personal judgment.</w:t>
      </w:r>
    </w:p>
    <w:p w:rsidR="00A6742C" w:rsidRDefault="00A6742C" w:rsidP="00A6742C">
      <w:pPr>
        <w:tabs>
          <w:tab w:val="left" w:pos="4680"/>
          <w:tab w:val="left" w:pos="6660"/>
          <w:tab w:val="left" w:pos="8280"/>
        </w:tabs>
        <w:rPr>
          <w:i/>
        </w:rPr>
      </w:pPr>
    </w:p>
    <w:p w:rsidR="00A6742C" w:rsidRPr="00565210" w:rsidRDefault="00A6742C" w:rsidP="00A6742C">
      <w:pPr>
        <w:tabs>
          <w:tab w:val="left" w:pos="4680"/>
          <w:tab w:val="left" w:pos="6660"/>
          <w:tab w:val="left" w:pos="8280"/>
        </w:tabs>
        <w:rPr>
          <w:b/>
        </w:rPr>
      </w:pPr>
      <w:r w:rsidRPr="00565210">
        <w:rPr>
          <w:b/>
          <w:i/>
        </w:rPr>
        <w:t>Redleaf v. Redleaf</w:t>
      </w:r>
      <w:r w:rsidRPr="00565210">
        <w:rPr>
          <w:b/>
        </w:rPr>
        <w:t>, 807 N.W.2d 731 (Minn. App. Dec. 12, 2011) (A11-0202, A11-0496).</w:t>
      </w:r>
    </w:p>
    <w:p w:rsidR="00A6742C" w:rsidRDefault="00A6742C" w:rsidP="00A6742C">
      <w:r>
        <w:tab/>
        <w:t>Minn. Stat. § 549.09, subd. 1(c)(2) (Supp. 2009), mandates a ten percent post-judgment interest rate on overdue marital-property-distribution payments of more than $50,000.</w:t>
      </w:r>
    </w:p>
    <w:p w:rsidR="00A6742C" w:rsidRDefault="00A6742C" w:rsidP="00A6742C">
      <w:pPr>
        <w:rPr>
          <w:i/>
        </w:rPr>
      </w:pPr>
    </w:p>
    <w:p w:rsidR="009D69C0" w:rsidRDefault="009D69C0" w:rsidP="00A6742C">
      <w:pPr>
        <w:rPr>
          <w:i/>
        </w:rPr>
      </w:pPr>
    </w:p>
    <w:p w:rsidR="009D69C0" w:rsidRDefault="009D69C0" w:rsidP="00A6742C">
      <w:pPr>
        <w:rPr>
          <w:i/>
        </w:rPr>
      </w:pPr>
    </w:p>
    <w:p w:rsidR="00A6742C" w:rsidRPr="00565210" w:rsidRDefault="00A6742C" w:rsidP="00A6742C">
      <w:pPr>
        <w:tabs>
          <w:tab w:val="left" w:pos="720"/>
          <w:tab w:val="left" w:pos="1440"/>
          <w:tab w:val="left" w:pos="2160"/>
        </w:tabs>
        <w:rPr>
          <w:b/>
          <w:bCs/>
        </w:rPr>
      </w:pPr>
      <w:r w:rsidRPr="00565210">
        <w:rPr>
          <w:b/>
          <w:bCs/>
          <w:i/>
        </w:rPr>
        <w:lastRenderedPageBreak/>
        <w:t>County of Grant v. Koser</w:t>
      </w:r>
      <w:r w:rsidRPr="00565210">
        <w:rPr>
          <w:b/>
          <w:bCs/>
        </w:rPr>
        <w:t>, 809 N.W.2d 237 (Minn. App. Jan. 9, 2012) (A11-0746).</w:t>
      </w:r>
    </w:p>
    <w:p w:rsidR="00A6742C" w:rsidRPr="00692B87" w:rsidRDefault="00A6742C" w:rsidP="00A6742C">
      <w:pPr>
        <w:pStyle w:val="Heading1"/>
        <w:keepNext w:val="0"/>
        <w:ind w:firstLine="720"/>
        <w:rPr>
          <w:b w:val="0"/>
          <w:szCs w:val="26"/>
        </w:rPr>
      </w:pPr>
      <w:r>
        <w:rPr>
          <w:b w:val="0"/>
        </w:rPr>
        <w:t>U</w:t>
      </w:r>
      <w:r w:rsidRPr="00692B87">
        <w:rPr>
          <w:b w:val="0"/>
        </w:rPr>
        <w:t xml:space="preserve">nder </w:t>
      </w:r>
      <w:r>
        <w:rPr>
          <w:b w:val="0"/>
        </w:rPr>
        <w:t>the plain language of Minnesota’s</w:t>
      </w:r>
      <w:r w:rsidRPr="00692B87">
        <w:rPr>
          <w:b w:val="0"/>
        </w:rPr>
        <w:t xml:space="preserve"> child-support statute, social security disability benefits</w:t>
      </w:r>
      <w:r>
        <w:rPr>
          <w:b w:val="0"/>
        </w:rPr>
        <w:t xml:space="preserve"> </w:t>
      </w:r>
      <w:r w:rsidRPr="00692B87">
        <w:rPr>
          <w:b w:val="0"/>
        </w:rPr>
        <w:t>paid to an obligee parent on behalf of joint children based on the obligor parent’s eligi</w:t>
      </w:r>
      <w:r>
        <w:rPr>
          <w:b w:val="0"/>
        </w:rPr>
        <w:t xml:space="preserve">bility </w:t>
      </w:r>
      <w:r w:rsidRPr="00692B87">
        <w:rPr>
          <w:b w:val="0"/>
        </w:rPr>
        <w:t xml:space="preserve">must be </w:t>
      </w:r>
      <w:r>
        <w:rPr>
          <w:b w:val="0"/>
        </w:rPr>
        <w:t>credited toward</w:t>
      </w:r>
      <w:r w:rsidRPr="00692B87">
        <w:rPr>
          <w:b w:val="0"/>
        </w:rPr>
        <w:t xml:space="preserve"> the obligor parent’s child-support obligation.</w:t>
      </w:r>
      <w:r>
        <w:rPr>
          <w:b w:val="0"/>
        </w:rPr>
        <w:t xml:space="preserve">  The manner in which this credit is applied is within the district court’s discretion.</w:t>
      </w:r>
    </w:p>
    <w:p w:rsidR="00A6742C" w:rsidRDefault="00A6742C" w:rsidP="00A6742C">
      <w:pPr>
        <w:rPr>
          <w:szCs w:val="26"/>
        </w:rPr>
      </w:pPr>
    </w:p>
    <w:p w:rsidR="00A6742C" w:rsidRPr="00565210" w:rsidRDefault="00A6742C" w:rsidP="00A6742C">
      <w:pPr>
        <w:rPr>
          <w:b/>
        </w:rPr>
      </w:pPr>
      <w:r w:rsidRPr="00565210">
        <w:rPr>
          <w:b/>
          <w:i/>
        </w:rPr>
        <w:t>Jones v. Jarvinen</w:t>
      </w:r>
      <w:r w:rsidRPr="00565210">
        <w:rPr>
          <w:b/>
        </w:rPr>
        <w:t>, 814 N.W.2d 45 (Minn. App. Apr. 30, 2012) (A11-1627).</w:t>
      </w:r>
    </w:p>
    <w:p w:rsidR="00A6742C" w:rsidRDefault="00A6742C" w:rsidP="00A6742C">
      <w:pPr>
        <w:tabs>
          <w:tab w:val="left" w:pos="720"/>
        </w:tabs>
      </w:pPr>
      <w:r>
        <w:tab/>
        <w:t xml:space="preserve">Governing statutes permit a district court to retroactively correct a child-care support order, based on actual child-care expenses incurred, for a period before the date of service of a motion to modify support.  </w:t>
      </w:r>
    </w:p>
    <w:p w:rsidR="00A6742C" w:rsidRDefault="00A6742C" w:rsidP="00A6742C">
      <w:pPr>
        <w:widowControl w:val="0"/>
        <w:rPr>
          <w:i/>
        </w:rPr>
      </w:pPr>
    </w:p>
    <w:p w:rsidR="00A6742C" w:rsidRDefault="00A6742C" w:rsidP="00A6742C">
      <w:pPr>
        <w:widowControl w:val="0"/>
      </w:pPr>
      <w:r w:rsidRPr="00565210">
        <w:rPr>
          <w:b/>
          <w:i/>
        </w:rPr>
        <w:t>Zaldivar v. Rodriguez</w:t>
      </w:r>
      <w:r w:rsidRPr="00565210">
        <w:rPr>
          <w:b/>
        </w:rPr>
        <w:t xml:space="preserve">, 819 N.W.2d 187 (Minn. App. July 30, 2012), </w:t>
      </w:r>
      <w:r w:rsidRPr="00565210">
        <w:rPr>
          <w:b/>
          <w:i/>
        </w:rPr>
        <w:t>review denied</w:t>
      </w:r>
      <w:r w:rsidRPr="00565210">
        <w:rPr>
          <w:b/>
        </w:rPr>
        <w:t xml:space="preserve"> </w:t>
      </w:r>
      <w:r>
        <w:t>(Minn. Sept. 25, 2012) (A11-1632).</w:t>
      </w:r>
    </w:p>
    <w:p w:rsidR="00A6742C" w:rsidRDefault="00A6742C" w:rsidP="00A6742C">
      <w:pPr>
        <w:pStyle w:val="Default"/>
        <w:jc w:val="both"/>
        <w:rPr>
          <w:sz w:val="26"/>
          <w:szCs w:val="26"/>
        </w:rPr>
      </w:pPr>
      <w:r>
        <w:rPr>
          <w:sz w:val="26"/>
          <w:szCs w:val="26"/>
        </w:rPr>
        <w:tab/>
        <w:t xml:space="preserve">A district court is not prohibited from holding an unauthorized alien in contempt of court for failure to pay child support, so long as the district court does not require the </w:t>
      </w:r>
      <w:r>
        <w:rPr>
          <w:color w:val="auto"/>
          <w:sz w:val="26"/>
          <w:szCs w:val="26"/>
        </w:rPr>
        <w:t>unauthorized alien to take any action that would subject him or her to criminal penalties or additional civil consequences.</w:t>
      </w:r>
    </w:p>
    <w:p w:rsidR="00A6742C" w:rsidRDefault="00A6742C" w:rsidP="00A6742C"/>
    <w:p w:rsidR="00A6742C" w:rsidRDefault="00A6742C" w:rsidP="00A6742C"/>
    <w:p w:rsidR="00A6742C" w:rsidRPr="005B0FE5" w:rsidRDefault="00A6742C" w:rsidP="00A6742C">
      <w:pPr>
        <w:tabs>
          <w:tab w:val="left" w:pos="720"/>
          <w:tab w:val="left" w:pos="1440"/>
          <w:tab w:val="left" w:pos="2160"/>
        </w:tabs>
        <w:rPr>
          <w:b/>
          <w:u w:val="single"/>
        </w:rPr>
      </w:pPr>
      <w:r>
        <w:rPr>
          <w:b/>
          <w:u w:val="single"/>
        </w:rPr>
        <w:t>Harassment Restraining Orders and Orders for Protection</w:t>
      </w:r>
    </w:p>
    <w:p w:rsidR="00A6742C" w:rsidRDefault="00A6742C" w:rsidP="00A6742C">
      <w:pPr>
        <w:tabs>
          <w:tab w:val="left" w:pos="720"/>
          <w:tab w:val="left" w:pos="1440"/>
          <w:tab w:val="left" w:pos="2160"/>
        </w:tabs>
      </w:pPr>
    </w:p>
    <w:p w:rsidR="00A6742C" w:rsidRPr="00565210" w:rsidRDefault="00A6742C" w:rsidP="00A6742C">
      <w:pPr>
        <w:tabs>
          <w:tab w:val="left" w:pos="720"/>
          <w:tab w:val="left" w:pos="1440"/>
          <w:tab w:val="left" w:pos="2160"/>
        </w:tabs>
        <w:rPr>
          <w:b/>
          <w:bCs/>
        </w:rPr>
      </w:pPr>
      <w:r w:rsidRPr="00565210">
        <w:rPr>
          <w:b/>
          <w:bCs/>
          <w:i/>
        </w:rPr>
        <w:t>Ekman v. Miller</w:t>
      </w:r>
      <w:r w:rsidRPr="00565210">
        <w:rPr>
          <w:b/>
          <w:bCs/>
        </w:rPr>
        <w:t>, 812 N.W.2d 892 (Minn. App. Apr. 2, 2012) (A11-1169).</w:t>
      </w:r>
    </w:p>
    <w:p w:rsidR="00A6742C" w:rsidRDefault="00A6742C" w:rsidP="00A6742C">
      <w:pPr>
        <w:tabs>
          <w:tab w:val="left" w:pos="720"/>
          <w:tab w:val="left" w:pos="1440"/>
          <w:tab w:val="left" w:pos="2160"/>
        </w:tabs>
        <w:rPr>
          <w:bCs/>
        </w:rPr>
      </w:pPr>
      <w:r>
        <w:rPr>
          <w:bCs/>
        </w:rPr>
        <w:tab/>
      </w:r>
      <w:r w:rsidRPr="009526F7">
        <w:rPr>
          <w:bCs/>
        </w:rPr>
        <w:t xml:space="preserve">The district court may extend an order for protection (OFP) or issue a new OFP upon a showing that the restrained party has violated an OFP. </w:t>
      </w:r>
      <w:r w:rsidR="00402B68">
        <w:rPr>
          <w:bCs/>
        </w:rPr>
        <w:t xml:space="preserve"> </w:t>
      </w:r>
      <w:r w:rsidRPr="009526F7">
        <w:rPr>
          <w:bCs/>
        </w:rPr>
        <w:t>The petitioning party must show that the restrained party has violated the OFP and need not establish that the restrained party has been convicted of a violation of an OFP.</w:t>
      </w:r>
      <w:r>
        <w:rPr>
          <w:bCs/>
        </w:rPr>
        <w:t xml:space="preserve">  </w:t>
      </w:r>
    </w:p>
    <w:p w:rsidR="00A6742C" w:rsidRDefault="00A6742C" w:rsidP="00A6742C">
      <w:pPr>
        <w:rPr>
          <w:i/>
        </w:rPr>
      </w:pPr>
    </w:p>
    <w:p w:rsidR="00A6742C" w:rsidRDefault="00A6742C" w:rsidP="00A6742C">
      <w:pPr>
        <w:tabs>
          <w:tab w:val="left" w:pos="720"/>
          <w:tab w:val="left" w:pos="1440"/>
          <w:tab w:val="left" w:pos="2160"/>
        </w:tabs>
      </w:pPr>
    </w:p>
    <w:p w:rsidR="00A6742C" w:rsidRPr="00EF617E" w:rsidRDefault="00A6742C" w:rsidP="00A6742C">
      <w:pPr>
        <w:rPr>
          <w:b/>
          <w:u w:val="single"/>
        </w:rPr>
      </w:pPr>
      <w:r>
        <w:rPr>
          <w:b/>
          <w:u w:val="single"/>
        </w:rPr>
        <w:t>Insurance Coverage</w:t>
      </w:r>
    </w:p>
    <w:p w:rsidR="00A6742C" w:rsidRDefault="00A6742C" w:rsidP="00A6742C">
      <w:pPr>
        <w:tabs>
          <w:tab w:val="left" w:pos="720"/>
        </w:tabs>
      </w:pPr>
    </w:p>
    <w:p w:rsidR="00A6742C" w:rsidRPr="00565210" w:rsidRDefault="00A6742C" w:rsidP="00A6742C">
      <w:pPr>
        <w:rPr>
          <w:b/>
        </w:rPr>
      </w:pPr>
      <w:r w:rsidRPr="00565210">
        <w:rPr>
          <w:b/>
          <w:i/>
        </w:rPr>
        <w:t>Cisar v. Slyter</w:t>
      </w:r>
      <w:r w:rsidRPr="00565210">
        <w:rPr>
          <w:b/>
        </w:rPr>
        <w:t xml:space="preserve">, 812 N.W.2d 151 (Minn. App. Jan. 17, 2012), </w:t>
      </w:r>
      <w:r w:rsidRPr="00565210">
        <w:rPr>
          <w:b/>
          <w:i/>
        </w:rPr>
        <w:t xml:space="preserve">review granted </w:t>
      </w:r>
      <w:r w:rsidRPr="00565210">
        <w:rPr>
          <w:b/>
        </w:rPr>
        <w:t>(Minn. Mar. 28, 2012),</w:t>
      </w:r>
      <w:r w:rsidRPr="00565210">
        <w:rPr>
          <w:b/>
          <w:i/>
        </w:rPr>
        <w:t xml:space="preserve"> review vacated and</w:t>
      </w:r>
      <w:r w:rsidRPr="00565210">
        <w:rPr>
          <w:b/>
        </w:rPr>
        <w:t xml:space="preserve"> </w:t>
      </w:r>
      <w:r w:rsidRPr="00565210">
        <w:rPr>
          <w:b/>
          <w:i/>
        </w:rPr>
        <w:t>appeal dismissed</w:t>
      </w:r>
      <w:r w:rsidRPr="00565210">
        <w:rPr>
          <w:b/>
        </w:rPr>
        <w:t xml:space="preserve"> (Minn. Apr. 17, 2012) (A11-0303).</w:t>
      </w:r>
    </w:p>
    <w:p w:rsidR="00A6742C" w:rsidRPr="002A167F" w:rsidRDefault="00A6742C" w:rsidP="00A6742C">
      <w:pPr>
        <w:tabs>
          <w:tab w:val="left" w:pos="720"/>
        </w:tabs>
      </w:pPr>
      <w:r>
        <w:tab/>
      </w:r>
      <w:r w:rsidRPr="006F739D">
        <w:t>Under Minnesota law, a homeowner's insurance policy must include a two-year statute of limitations. Under the statutes governing township mutual fire insurance companies, despite any provisions to the contrary, a two-year limitations period applies to actions for recovery of a claim brought under the portion of an insurance policy that constitutes ho</w:t>
      </w:r>
      <w:r w:rsidR="00402B68">
        <w:t>meowner's insurance. Homeowner’s</w:t>
      </w:r>
      <w:r w:rsidRPr="006F739D">
        <w:t xml:space="preserve"> insurance is defined broadly under Minnesota insurance law and includes policies known as or generally described as homeowner</w:t>
      </w:r>
      <w:r>
        <w:t>’</w:t>
      </w:r>
      <w:r w:rsidRPr="006F739D">
        <w:t>s policies or dwelling-owner policies.</w:t>
      </w:r>
    </w:p>
    <w:p w:rsidR="00A6742C" w:rsidRPr="00565210" w:rsidRDefault="00A6742C" w:rsidP="00A6742C">
      <w:pPr>
        <w:rPr>
          <w:b/>
        </w:rPr>
      </w:pPr>
      <w:r w:rsidRPr="00565210">
        <w:rPr>
          <w:b/>
          <w:i/>
        </w:rPr>
        <w:lastRenderedPageBreak/>
        <w:t>Farm Bureau Mut. Ins. Co. v. Earthsoils, Inc.</w:t>
      </w:r>
      <w:r w:rsidRPr="00565210">
        <w:rPr>
          <w:b/>
        </w:rPr>
        <w:t xml:space="preserve">, 812 N.W.2d 873 (Minn. App. Apr. 2, 2012), </w:t>
      </w:r>
      <w:r w:rsidRPr="00565210">
        <w:rPr>
          <w:b/>
          <w:i/>
        </w:rPr>
        <w:t>review denied</w:t>
      </w:r>
      <w:r w:rsidRPr="00565210">
        <w:rPr>
          <w:b/>
        </w:rPr>
        <w:t xml:space="preserve"> (Minn. June 27, 2012) (A11-0693).</w:t>
      </w:r>
    </w:p>
    <w:p w:rsidR="00A6742C" w:rsidRDefault="00A6742C" w:rsidP="00A6742C">
      <w:pPr>
        <w:pStyle w:val="Heading1"/>
        <w:keepNext w:val="0"/>
        <w:ind w:firstLine="720"/>
        <w:rPr>
          <w:b w:val="0"/>
          <w:szCs w:val="26"/>
        </w:rPr>
      </w:pPr>
      <w:r>
        <w:rPr>
          <w:b w:val="0"/>
          <w:szCs w:val="26"/>
        </w:rPr>
        <w:t>Failure to achieve anticipated crop yield is economic loss, not physical injury to tangible property.  A commercial general liability insurance policy that covers damages arising out of physical injury to tangible property does not cover claims based on failure to achieve anticipated crop yield unless that failure is the result of physical injury to the crop itself.</w:t>
      </w:r>
    </w:p>
    <w:p w:rsidR="00D532CF" w:rsidRDefault="00D532CF" w:rsidP="00D532CF"/>
    <w:p w:rsidR="002D1CB3" w:rsidRPr="00D532CF" w:rsidRDefault="002D1CB3" w:rsidP="00D532CF"/>
    <w:p w:rsidR="00A6742C" w:rsidRPr="00213267" w:rsidRDefault="00A6742C" w:rsidP="00A6742C">
      <w:pPr>
        <w:tabs>
          <w:tab w:val="left" w:pos="720"/>
          <w:tab w:val="left" w:pos="1440"/>
        </w:tabs>
        <w:rPr>
          <w:b/>
          <w:u w:val="single"/>
        </w:rPr>
      </w:pPr>
      <w:r>
        <w:rPr>
          <w:b/>
          <w:u w:val="single"/>
        </w:rPr>
        <w:t>Jurisdiction and Procedure</w:t>
      </w:r>
    </w:p>
    <w:p w:rsidR="00A6742C" w:rsidRDefault="00A6742C" w:rsidP="00A6742C">
      <w:pPr>
        <w:tabs>
          <w:tab w:val="left" w:pos="720"/>
          <w:tab w:val="left" w:pos="1440"/>
        </w:tabs>
      </w:pPr>
    </w:p>
    <w:p w:rsidR="00A6742C" w:rsidRPr="00565210" w:rsidRDefault="00A6742C" w:rsidP="00A6742C">
      <w:pPr>
        <w:widowControl w:val="0"/>
        <w:rPr>
          <w:b/>
        </w:rPr>
      </w:pPr>
      <w:r w:rsidRPr="00565210">
        <w:rPr>
          <w:b/>
          <w:i/>
        </w:rPr>
        <w:t>John Ward Gillman Engraved June 20, 1775 Copper Printing Plate v. Heritage Auctions, Inc.</w:t>
      </w:r>
      <w:r w:rsidRPr="00565210">
        <w:rPr>
          <w:b/>
        </w:rPr>
        <w:t>, 806 N.W.2d 861 (Minn. App. Nov. 7, 2011) (A11-0851).</w:t>
      </w:r>
    </w:p>
    <w:p w:rsidR="00A6742C" w:rsidRDefault="00A6742C" w:rsidP="00A6742C">
      <w:pPr>
        <w:pStyle w:val="Default"/>
        <w:jc w:val="both"/>
        <w:rPr>
          <w:sz w:val="26"/>
          <w:szCs w:val="26"/>
        </w:rPr>
      </w:pPr>
      <w:r>
        <w:rPr>
          <w:sz w:val="26"/>
          <w:szCs w:val="26"/>
        </w:rPr>
        <w:tab/>
        <w:t xml:space="preserve">Under </w:t>
      </w:r>
      <w:r>
        <w:rPr>
          <w:i/>
          <w:iCs/>
          <w:sz w:val="26"/>
          <w:szCs w:val="26"/>
        </w:rPr>
        <w:t>Shaffer v. Heitner</w:t>
      </w:r>
      <w:r>
        <w:rPr>
          <w:sz w:val="26"/>
          <w:szCs w:val="26"/>
        </w:rPr>
        <w:t xml:space="preserve">, 433 U.S. 186, 97 S. Ct. 2569 (1977), all assertions of in rem jurisdiction must satisfy the fairness standard set forth in </w:t>
      </w:r>
      <w:r>
        <w:rPr>
          <w:i/>
          <w:iCs/>
          <w:sz w:val="26"/>
          <w:szCs w:val="26"/>
        </w:rPr>
        <w:t>International Shoe Co. v. Washington</w:t>
      </w:r>
      <w:r>
        <w:rPr>
          <w:sz w:val="26"/>
          <w:szCs w:val="26"/>
        </w:rPr>
        <w:t xml:space="preserve">, 326 U.S. 310, 66 S. Ct. 154 (1945). </w:t>
      </w:r>
    </w:p>
    <w:p w:rsidR="00A6742C" w:rsidRDefault="00A6742C" w:rsidP="00A6742C">
      <w:pPr>
        <w:tabs>
          <w:tab w:val="left" w:pos="720"/>
          <w:tab w:val="left" w:pos="1440"/>
        </w:tabs>
        <w:rPr>
          <w:i/>
        </w:rPr>
      </w:pPr>
    </w:p>
    <w:p w:rsidR="00A6742C" w:rsidRPr="00565210" w:rsidRDefault="00A6742C" w:rsidP="00A6742C">
      <w:pPr>
        <w:tabs>
          <w:tab w:val="left" w:pos="720"/>
          <w:tab w:val="left" w:pos="1440"/>
        </w:tabs>
        <w:rPr>
          <w:b/>
        </w:rPr>
      </w:pPr>
      <w:r w:rsidRPr="00565210">
        <w:rPr>
          <w:b/>
          <w:i/>
        </w:rPr>
        <w:t>Brenny v. Board of Regents of Univ. of Minn.</w:t>
      </w:r>
      <w:r w:rsidRPr="00565210">
        <w:rPr>
          <w:b/>
        </w:rPr>
        <w:t>, 813 N.W.2d 417 (Minn. App. May 7, 2012) (A11-1339).</w:t>
      </w:r>
    </w:p>
    <w:p w:rsidR="00A6742C" w:rsidRPr="005C0FE0" w:rsidRDefault="00A6742C" w:rsidP="00A6742C">
      <w:pPr>
        <w:tabs>
          <w:tab w:val="left" w:pos="720"/>
          <w:tab w:val="left" w:pos="1440"/>
        </w:tabs>
      </w:pPr>
      <w:r>
        <w:tab/>
      </w:r>
      <w:r w:rsidR="0015361E" w:rsidRPr="0015361E">
        <w:t>To protect the autonomy of the University of Minnesota under the separation-of-powers doctrine, judicial review of a tortious-interference-with-contract-claim must be initiated by writ of certiorari when the claim is brought by a university employee against the employee’s supervisor for wrongful conduct that occurred within the scope of employment.</w:t>
      </w:r>
    </w:p>
    <w:p w:rsidR="00A6742C" w:rsidRDefault="00A6742C" w:rsidP="00A6742C">
      <w:pPr>
        <w:tabs>
          <w:tab w:val="left" w:pos="720"/>
          <w:tab w:val="left" w:pos="1440"/>
        </w:tabs>
      </w:pPr>
    </w:p>
    <w:p w:rsidR="00A6742C" w:rsidRDefault="00A6742C" w:rsidP="00A6742C">
      <w:pPr>
        <w:tabs>
          <w:tab w:val="left" w:pos="720"/>
          <w:tab w:val="left" w:pos="1440"/>
        </w:tabs>
      </w:pPr>
    </w:p>
    <w:p w:rsidR="00A6742C" w:rsidRPr="00BD6A67" w:rsidRDefault="00A6742C" w:rsidP="00A6742C">
      <w:pPr>
        <w:pStyle w:val="BodyText"/>
        <w:spacing w:line="240" w:lineRule="auto"/>
        <w:rPr>
          <w:b/>
          <w:u w:val="single"/>
        </w:rPr>
      </w:pPr>
      <w:r>
        <w:rPr>
          <w:b/>
          <w:u w:val="single"/>
        </w:rPr>
        <w:t>Labor and Employment</w:t>
      </w:r>
    </w:p>
    <w:p w:rsidR="00A6742C" w:rsidRDefault="00A6742C" w:rsidP="00A6742C">
      <w:pPr>
        <w:pStyle w:val="BodyText"/>
        <w:spacing w:line="240" w:lineRule="auto"/>
      </w:pPr>
    </w:p>
    <w:p w:rsidR="00A6742C" w:rsidRPr="00565210" w:rsidRDefault="00A6742C" w:rsidP="00A6742C">
      <w:pPr>
        <w:pStyle w:val="Heading1"/>
        <w:keepNext w:val="0"/>
        <w:tabs>
          <w:tab w:val="left" w:pos="720"/>
          <w:tab w:val="left" w:pos="1440"/>
        </w:tabs>
        <w:rPr>
          <w:szCs w:val="26"/>
        </w:rPr>
      </w:pPr>
      <w:r w:rsidRPr="00565210">
        <w:rPr>
          <w:i/>
          <w:szCs w:val="26"/>
        </w:rPr>
        <w:t>Barker v. County of Lyon</w:t>
      </w:r>
      <w:r w:rsidRPr="00565210">
        <w:rPr>
          <w:szCs w:val="26"/>
        </w:rPr>
        <w:t>, 813 N.W.2d 424 (Minn. App. May 7, 2012) (A11-1746).</w:t>
      </w:r>
    </w:p>
    <w:p w:rsidR="00A6742C" w:rsidRDefault="00A6742C" w:rsidP="00A6742C">
      <w:pPr>
        <w:pStyle w:val="Heading1"/>
        <w:keepNext w:val="0"/>
        <w:tabs>
          <w:tab w:val="left" w:pos="720"/>
          <w:tab w:val="left" w:pos="1440"/>
        </w:tabs>
        <w:rPr>
          <w:b w:val="0"/>
          <w:szCs w:val="26"/>
        </w:rPr>
      </w:pPr>
      <w:r>
        <w:rPr>
          <w:b w:val="0"/>
          <w:szCs w:val="26"/>
        </w:rPr>
        <w:tab/>
        <w:t>1.</w:t>
      </w:r>
      <w:r>
        <w:rPr>
          <w:b w:val="0"/>
          <w:szCs w:val="26"/>
        </w:rPr>
        <w:tab/>
        <w:t>When an employer’s policy manual includes a provision reserving to the employer the right to alter or eliminate provisions in the manual, an employee’s continuing reliance on any provision is unreasonable as a matter of law.</w:t>
      </w:r>
    </w:p>
    <w:p w:rsidR="00A6742C" w:rsidRPr="00384AC4" w:rsidRDefault="00A6742C" w:rsidP="00A6742C">
      <w:pPr>
        <w:tabs>
          <w:tab w:val="left" w:pos="720"/>
          <w:tab w:val="left" w:pos="1440"/>
        </w:tabs>
      </w:pPr>
      <w:r>
        <w:tab/>
        <w:t>2.</w:t>
      </w:r>
      <w:r>
        <w:tab/>
        <w:t>When a post-retirement benefit is provided to employees who have retired while in active service of the employer, the right to that benefit does not vest unless and until an employee retires while in active service.</w:t>
      </w:r>
    </w:p>
    <w:p w:rsidR="00A6742C" w:rsidRDefault="00A6742C" w:rsidP="00A6742C">
      <w:pPr>
        <w:rPr>
          <w:i/>
          <w:szCs w:val="26"/>
        </w:rPr>
      </w:pPr>
    </w:p>
    <w:p w:rsidR="00A6742C" w:rsidRPr="00565210" w:rsidRDefault="00D16583" w:rsidP="00A6742C">
      <w:pPr>
        <w:rPr>
          <w:b/>
        </w:rPr>
      </w:pPr>
      <w:r w:rsidRPr="00565210">
        <w:rPr>
          <w:b/>
          <w:i/>
        </w:rPr>
        <w:t>Blumhardt v. Independent</w:t>
      </w:r>
      <w:r w:rsidR="00A6742C" w:rsidRPr="00565210">
        <w:rPr>
          <w:b/>
          <w:i/>
        </w:rPr>
        <w:t xml:space="preserve"> Sch. Dist. No. 361</w:t>
      </w:r>
      <w:r w:rsidR="00A6742C" w:rsidRPr="00565210">
        <w:rPr>
          <w:b/>
        </w:rPr>
        <w:t>, 814 N.W.2d 72 (Minn. App. May 14, 2012) (A11-1653).</w:t>
      </w:r>
    </w:p>
    <w:p w:rsidR="00A6742C" w:rsidRDefault="00A6742C" w:rsidP="00A6742C">
      <w:pPr>
        <w:ind w:firstLine="720"/>
      </w:pPr>
      <w:r>
        <w:t xml:space="preserve">Under the Public Employment Labor Relations Act, a public employer must grant a leave of absence requested by a public employee who is an elected or appointed official of an exclusive representative for an organized group of the employer’s personnel.  But </w:t>
      </w:r>
      <w:r>
        <w:lastRenderedPageBreak/>
        <w:t>this statutorily mandated leave does not extend to a public employee who is elected or appointed to serve an employee organization that is not the exclusive representative for these employees.</w:t>
      </w:r>
    </w:p>
    <w:p w:rsidR="00A6742C" w:rsidRDefault="00A6742C" w:rsidP="00A6742C">
      <w:pPr>
        <w:ind w:firstLine="720"/>
      </w:pPr>
    </w:p>
    <w:p w:rsidR="00A6742C" w:rsidRPr="00565210" w:rsidRDefault="00A6742C" w:rsidP="00A6742C">
      <w:pPr>
        <w:autoSpaceDE w:val="0"/>
        <w:autoSpaceDN w:val="0"/>
        <w:adjustRightInd w:val="0"/>
        <w:rPr>
          <w:b/>
          <w:szCs w:val="26"/>
        </w:rPr>
      </w:pPr>
      <w:r w:rsidRPr="00565210">
        <w:rPr>
          <w:b/>
          <w:i/>
          <w:szCs w:val="26"/>
        </w:rPr>
        <w:t>In re Daley Farm of Lewiston</w:t>
      </w:r>
      <w:r w:rsidRPr="00565210">
        <w:rPr>
          <w:b/>
          <w:szCs w:val="26"/>
        </w:rPr>
        <w:t>, 816 N.W.2d 671 (Minn. App. July 9, 2012) (A11-1788).</w:t>
      </w:r>
    </w:p>
    <w:p w:rsidR="00A6742C" w:rsidRPr="00BA7A00" w:rsidRDefault="00A6742C" w:rsidP="00D16583">
      <w:pPr>
        <w:autoSpaceDE w:val="0"/>
        <w:autoSpaceDN w:val="0"/>
        <w:adjustRightInd w:val="0"/>
        <w:ind w:firstLine="720"/>
        <w:rPr>
          <w:szCs w:val="26"/>
        </w:rPr>
      </w:pPr>
      <w:r w:rsidRPr="00BA7A00">
        <w:rPr>
          <w:szCs w:val="26"/>
        </w:rPr>
        <w:t>The exemption in the Minnesota Fair Labor Standards Act for agricultural</w:t>
      </w:r>
      <w:r w:rsidR="00D16583">
        <w:rPr>
          <w:szCs w:val="26"/>
        </w:rPr>
        <w:t xml:space="preserve"> </w:t>
      </w:r>
      <w:r w:rsidRPr="00BA7A00">
        <w:rPr>
          <w:szCs w:val="26"/>
        </w:rPr>
        <w:t>workers, Minn. Stat. § 177.23, subd. 7(2) (2010), does not apply to workers who are paid on an hourly basis.</w:t>
      </w:r>
    </w:p>
    <w:p w:rsidR="00A6742C" w:rsidRDefault="00A6742C" w:rsidP="00A6742C">
      <w:pPr>
        <w:pStyle w:val="BodyText"/>
        <w:spacing w:line="240" w:lineRule="auto"/>
      </w:pPr>
    </w:p>
    <w:p w:rsidR="00A6742C" w:rsidRPr="00711F5A" w:rsidRDefault="00A6742C" w:rsidP="00A6742C">
      <w:pPr>
        <w:pStyle w:val="BodyText"/>
        <w:spacing w:line="240" w:lineRule="auto"/>
      </w:pPr>
    </w:p>
    <w:p w:rsidR="00A6742C" w:rsidRDefault="00A6742C" w:rsidP="00A6742C">
      <w:pPr>
        <w:pStyle w:val="FootnoteText"/>
        <w:tabs>
          <w:tab w:val="left" w:pos="720"/>
          <w:tab w:val="left" w:pos="1440"/>
          <w:tab w:val="left" w:pos="2160"/>
        </w:tabs>
      </w:pPr>
      <w:r>
        <w:rPr>
          <w:b/>
          <w:u w:val="single"/>
        </w:rPr>
        <w:t>Liens</w:t>
      </w:r>
    </w:p>
    <w:p w:rsidR="00A6742C" w:rsidRDefault="00A6742C" w:rsidP="00A6742C">
      <w:pPr>
        <w:pStyle w:val="FootnoteText"/>
        <w:tabs>
          <w:tab w:val="left" w:pos="720"/>
          <w:tab w:val="left" w:pos="1440"/>
          <w:tab w:val="left" w:pos="2160"/>
        </w:tabs>
      </w:pPr>
    </w:p>
    <w:p w:rsidR="00A6742C" w:rsidRPr="00565210" w:rsidRDefault="00A6742C" w:rsidP="00A6742C">
      <w:pPr>
        <w:pStyle w:val="FootnoteText"/>
        <w:tabs>
          <w:tab w:val="left" w:pos="720"/>
          <w:tab w:val="left" w:pos="1440"/>
          <w:tab w:val="left" w:pos="2160"/>
        </w:tabs>
        <w:rPr>
          <w:b/>
        </w:rPr>
      </w:pPr>
      <w:r w:rsidRPr="00565210">
        <w:rPr>
          <w:b/>
          <w:i/>
        </w:rPr>
        <w:t>Effrem v. Effrem</w:t>
      </w:r>
      <w:r w:rsidRPr="00565210">
        <w:rPr>
          <w:b/>
        </w:rPr>
        <w:t>, 818 N.W.2d 546 (Minn. App. June 18, 2012) (A11-1539).</w:t>
      </w:r>
    </w:p>
    <w:p w:rsidR="00A6742C" w:rsidRDefault="00A6742C" w:rsidP="00A6742C">
      <w:pPr>
        <w:pStyle w:val="FootnoteText"/>
        <w:tabs>
          <w:tab w:val="left" w:pos="720"/>
          <w:tab w:val="left" w:pos="1440"/>
          <w:tab w:val="left" w:pos="2160"/>
        </w:tabs>
      </w:pPr>
      <w:r>
        <w:tab/>
        <w:t>Minn. Stat. § 481.13, subd. 1 (2010), does not allow for the inclusion in the amount of an attorney lien attorney’s fees and costs associated with obtaining the attorney lien.</w:t>
      </w:r>
    </w:p>
    <w:p w:rsidR="00A6742C" w:rsidRDefault="00A6742C" w:rsidP="00A6742C">
      <w:pPr>
        <w:pStyle w:val="FootnoteText"/>
        <w:tabs>
          <w:tab w:val="left" w:pos="720"/>
          <w:tab w:val="left" w:pos="1440"/>
          <w:tab w:val="left" w:pos="2160"/>
        </w:tabs>
      </w:pPr>
    </w:p>
    <w:p w:rsidR="00A6742C" w:rsidRDefault="00A6742C" w:rsidP="00A6742C">
      <w:pPr>
        <w:pStyle w:val="FootnoteText"/>
        <w:tabs>
          <w:tab w:val="left" w:pos="720"/>
          <w:tab w:val="left" w:pos="1440"/>
          <w:tab w:val="left" w:pos="2160"/>
        </w:tabs>
      </w:pPr>
    </w:p>
    <w:p w:rsidR="00A6742C" w:rsidRDefault="00A6742C" w:rsidP="00A6742C">
      <w:pPr>
        <w:pStyle w:val="FootnoteText"/>
        <w:tabs>
          <w:tab w:val="left" w:pos="720"/>
          <w:tab w:val="left" w:pos="1440"/>
          <w:tab w:val="left" w:pos="2160"/>
        </w:tabs>
        <w:rPr>
          <w:b/>
          <w:u w:val="single"/>
        </w:rPr>
      </w:pPr>
      <w:r w:rsidRPr="00BA7A00">
        <w:rPr>
          <w:b/>
          <w:u w:val="single"/>
        </w:rPr>
        <w:t>Local Government</w:t>
      </w:r>
    </w:p>
    <w:p w:rsidR="00A6742C" w:rsidRDefault="00A6742C" w:rsidP="00A6742C">
      <w:pPr>
        <w:pStyle w:val="FootnoteText"/>
        <w:tabs>
          <w:tab w:val="left" w:pos="720"/>
          <w:tab w:val="left" w:pos="1440"/>
          <w:tab w:val="left" w:pos="2160"/>
        </w:tabs>
        <w:rPr>
          <w:b/>
          <w:u w:val="single"/>
        </w:rPr>
      </w:pPr>
    </w:p>
    <w:p w:rsidR="00A6742C" w:rsidRPr="00B40B7E" w:rsidRDefault="00A6742C" w:rsidP="00A6742C">
      <w:pPr>
        <w:spacing w:before="60"/>
        <w:rPr>
          <w:b/>
          <w:i/>
        </w:rPr>
      </w:pPr>
      <w:r w:rsidRPr="00B40B7E">
        <w:rPr>
          <w:b/>
          <w:i/>
        </w:rPr>
        <w:t>Rochon Corp. v. City of St. Paul</w:t>
      </w:r>
      <w:r w:rsidRPr="00B40B7E">
        <w:rPr>
          <w:b/>
        </w:rPr>
        <w:t xml:space="preserve">, 814 N.W.2d 365 (Minn. App. May 7, 2012), </w:t>
      </w:r>
      <w:r w:rsidRPr="00B40B7E">
        <w:rPr>
          <w:b/>
          <w:i/>
        </w:rPr>
        <w:t xml:space="preserve">review denied </w:t>
      </w:r>
      <w:r w:rsidRPr="00B40B7E">
        <w:rPr>
          <w:b/>
        </w:rPr>
        <w:t>(Minn. July 17, 2012) (A11-1271).</w:t>
      </w:r>
    </w:p>
    <w:p w:rsidR="00A6742C" w:rsidRDefault="00A6742C" w:rsidP="00A6742C">
      <w:pPr>
        <w:tabs>
          <w:tab w:val="left" w:pos="720"/>
        </w:tabs>
        <w:suppressAutoHyphens w:val="0"/>
      </w:pPr>
      <w:r>
        <w:tab/>
        <w:t>A prospective contractor who increases its bid on a municipal project after the public bids are opened has made a material and substantive change in its bid, such that allowing the bid violates public bidding law and renders the contractor’s replacement bid invalid and the consequent contract void.</w:t>
      </w:r>
    </w:p>
    <w:p w:rsidR="00A6742C" w:rsidRDefault="00A6742C" w:rsidP="00A6742C">
      <w:pPr>
        <w:pStyle w:val="FootnoteText"/>
        <w:tabs>
          <w:tab w:val="left" w:pos="720"/>
          <w:tab w:val="left" w:pos="1440"/>
          <w:tab w:val="left" w:pos="2160"/>
        </w:tabs>
        <w:rPr>
          <w:i/>
        </w:rPr>
      </w:pPr>
    </w:p>
    <w:p w:rsidR="00A6742C" w:rsidRPr="00B40B7E" w:rsidRDefault="00A6742C" w:rsidP="00A6742C">
      <w:pPr>
        <w:pStyle w:val="FootnoteText"/>
        <w:tabs>
          <w:tab w:val="left" w:pos="720"/>
          <w:tab w:val="left" w:pos="1440"/>
          <w:tab w:val="left" w:pos="2160"/>
        </w:tabs>
        <w:rPr>
          <w:b/>
        </w:rPr>
      </w:pPr>
      <w:r w:rsidRPr="00B40B7E">
        <w:rPr>
          <w:b/>
          <w:i/>
        </w:rPr>
        <w:t>Builders Ass’n of Minn. v. City of St. Paul</w:t>
      </w:r>
      <w:r w:rsidRPr="00B40B7E">
        <w:rPr>
          <w:b/>
        </w:rPr>
        <w:t>, 819 N.W.2d 172 (Minn. App. July 23, 2012) (A11-2270).</w:t>
      </w:r>
    </w:p>
    <w:p w:rsidR="00A6742C" w:rsidRPr="00BA7A00" w:rsidRDefault="00A6742C" w:rsidP="004C3E2E">
      <w:pPr>
        <w:autoSpaceDE w:val="0"/>
        <w:autoSpaceDN w:val="0"/>
        <w:adjustRightInd w:val="0"/>
        <w:ind w:firstLine="720"/>
        <w:rPr>
          <w:szCs w:val="26"/>
        </w:rPr>
      </w:pPr>
      <w:r w:rsidRPr="00BA7A00">
        <w:rPr>
          <w:szCs w:val="26"/>
        </w:rPr>
        <w:t>A city may not circumvent the preemption provisions of the state building code by</w:t>
      </w:r>
      <w:r>
        <w:rPr>
          <w:szCs w:val="26"/>
        </w:rPr>
        <w:t xml:space="preserve"> </w:t>
      </w:r>
      <w:r w:rsidRPr="00BA7A00">
        <w:rPr>
          <w:szCs w:val="26"/>
        </w:rPr>
        <w:t>indirectly adopting its own building regulation through a “policy” rather than an</w:t>
      </w:r>
      <w:r>
        <w:rPr>
          <w:szCs w:val="26"/>
        </w:rPr>
        <w:t xml:space="preserve"> </w:t>
      </w:r>
      <w:r w:rsidRPr="00BA7A00">
        <w:rPr>
          <w:szCs w:val="26"/>
        </w:rPr>
        <w:t xml:space="preserve">ordinance or formal enactment. </w:t>
      </w:r>
      <w:r w:rsidR="00D16583">
        <w:rPr>
          <w:szCs w:val="26"/>
        </w:rPr>
        <w:t xml:space="preserve"> </w:t>
      </w:r>
      <w:r w:rsidRPr="00BA7A00">
        <w:rPr>
          <w:szCs w:val="26"/>
        </w:rPr>
        <w:t>The state building code preempts such municipal</w:t>
      </w:r>
      <w:r>
        <w:rPr>
          <w:szCs w:val="26"/>
        </w:rPr>
        <w:t xml:space="preserve"> </w:t>
      </w:r>
      <w:r w:rsidRPr="00BA7A00">
        <w:rPr>
          <w:szCs w:val="26"/>
        </w:rPr>
        <w:t>policies to the same extent that it preempts municipalities’ ordinances or formal</w:t>
      </w:r>
      <w:r>
        <w:rPr>
          <w:szCs w:val="26"/>
        </w:rPr>
        <w:t xml:space="preserve"> </w:t>
      </w:r>
      <w:r w:rsidRPr="00BA7A00">
        <w:rPr>
          <w:szCs w:val="26"/>
        </w:rPr>
        <w:t>enactments that differ from the uniform state code.</w:t>
      </w:r>
    </w:p>
    <w:p w:rsidR="00A6742C" w:rsidRPr="00BA7A00" w:rsidRDefault="00A6742C" w:rsidP="004C3E2E">
      <w:pPr>
        <w:pStyle w:val="FootnoteText"/>
        <w:tabs>
          <w:tab w:val="left" w:pos="720"/>
          <w:tab w:val="left" w:pos="1440"/>
          <w:tab w:val="left" w:pos="2160"/>
        </w:tabs>
      </w:pPr>
    </w:p>
    <w:p w:rsidR="00A6742C" w:rsidRDefault="00A6742C" w:rsidP="004C3E2E">
      <w:pPr>
        <w:pStyle w:val="FootnoteText"/>
        <w:tabs>
          <w:tab w:val="left" w:pos="720"/>
          <w:tab w:val="left" w:pos="1440"/>
          <w:tab w:val="left" w:pos="2160"/>
        </w:tabs>
      </w:pPr>
    </w:p>
    <w:p w:rsidR="00D532CF" w:rsidRDefault="00D532CF" w:rsidP="00A6742C">
      <w:pPr>
        <w:pStyle w:val="FootnoteText"/>
        <w:tabs>
          <w:tab w:val="left" w:pos="720"/>
          <w:tab w:val="left" w:pos="1440"/>
          <w:tab w:val="left" w:pos="2160"/>
        </w:tabs>
      </w:pPr>
    </w:p>
    <w:p w:rsidR="00D532CF" w:rsidRDefault="00D532CF" w:rsidP="00A6742C">
      <w:pPr>
        <w:pStyle w:val="FootnoteText"/>
        <w:tabs>
          <w:tab w:val="left" w:pos="720"/>
          <w:tab w:val="left" w:pos="1440"/>
          <w:tab w:val="left" w:pos="2160"/>
        </w:tabs>
      </w:pPr>
    </w:p>
    <w:p w:rsidR="00D532CF" w:rsidRDefault="00D532CF" w:rsidP="00A6742C">
      <w:pPr>
        <w:pStyle w:val="FootnoteText"/>
        <w:tabs>
          <w:tab w:val="left" w:pos="720"/>
          <w:tab w:val="left" w:pos="1440"/>
          <w:tab w:val="left" w:pos="2160"/>
        </w:tabs>
      </w:pPr>
    </w:p>
    <w:p w:rsidR="00D532CF" w:rsidRDefault="00D532CF" w:rsidP="00A6742C">
      <w:pPr>
        <w:pStyle w:val="FootnoteText"/>
        <w:tabs>
          <w:tab w:val="left" w:pos="720"/>
          <w:tab w:val="left" w:pos="1440"/>
          <w:tab w:val="left" w:pos="2160"/>
        </w:tabs>
      </w:pPr>
    </w:p>
    <w:p w:rsidR="00D532CF" w:rsidRDefault="00D532CF" w:rsidP="00A6742C">
      <w:pPr>
        <w:pStyle w:val="FootnoteText"/>
        <w:tabs>
          <w:tab w:val="left" w:pos="720"/>
          <w:tab w:val="left" w:pos="1440"/>
          <w:tab w:val="left" w:pos="2160"/>
        </w:tabs>
      </w:pPr>
    </w:p>
    <w:p w:rsidR="00A6742C" w:rsidRDefault="00A6742C" w:rsidP="00A6742C">
      <w:pPr>
        <w:pStyle w:val="FootnoteText"/>
        <w:tabs>
          <w:tab w:val="left" w:pos="720"/>
          <w:tab w:val="left" w:pos="1440"/>
          <w:tab w:val="left" w:pos="2160"/>
        </w:tabs>
        <w:rPr>
          <w:b/>
          <w:u w:val="single"/>
        </w:rPr>
      </w:pPr>
      <w:r>
        <w:rPr>
          <w:b/>
          <w:u w:val="single"/>
        </w:rPr>
        <w:lastRenderedPageBreak/>
        <w:t>Probate</w:t>
      </w:r>
    </w:p>
    <w:p w:rsidR="00A6742C" w:rsidRDefault="00A6742C" w:rsidP="00A6742C">
      <w:pPr>
        <w:pStyle w:val="FootnoteText"/>
        <w:tabs>
          <w:tab w:val="left" w:pos="720"/>
          <w:tab w:val="left" w:pos="1440"/>
          <w:tab w:val="left" w:pos="2160"/>
        </w:tabs>
        <w:rPr>
          <w:b/>
          <w:u w:val="single"/>
        </w:rPr>
      </w:pPr>
    </w:p>
    <w:p w:rsidR="00A6742C" w:rsidRPr="00B40B7E" w:rsidRDefault="00A6742C" w:rsidP="00A6742C">
      <w:pPr>
        <w:rPr>
          <w:b/>
          <w:i/>
          <w:szCs w:val="26"/>
        </w:rPr>
      </w:pPr>
      <w:r w:rsidRPr="00B40B7E">
        <w:rPr>
          <w:b/>
          <w:i/>
          <w:szCs w:val="26"/>
        </w:rPr>
        <w:t>In re S.H. Bowman Trust</w:t>
      </w:r>
      <w:r w:rsidRPr="00B40B7E">
        <w:rPr>
          <w:b/>
          <w:szCs w:val="26"/>
        </w:rPr>
        <w:t>, 804 N.W.2d 361 (Minn. App. Sept. 12, 2011)</w:t>
      </w:r>
      <w:r w:rsidRPr="00B40B7E">
        <w:rPr>
          <w:b/>
          <w:i/>
          <w:szCs w:val="26"/>
        </w:rPr>
        <w:t xml:space="preserve"> </w:t>
      </w:r>
      <w:r w:rsidRPr="00B40B7E">
        <w:rPr>
          <w:b/>
          <w:szCs w:val="26"/>
        </w:rPr>
        <w:t>(A11-0110).</w:t>
      </w:r>
    </w:p>
    <w:p w:rsidR="00A6742C" w:rsidRPr="0031095E" w:rsidRDefault="00A6742C" w:rsidP="00A6742C">
      <w:pPr>
        <w:autoSpaceDE w:val="0"/>
        <w:autoSpaceDN w:val="0"/>
        <w:adjustRightInd w:val="0"/>
        <w:ind w:firstLine="720"/>
        <w:rPr>
          <w:szCs w:val="26"/>
        </w:rPr>
      </w:pPr>
      <w:r>
        <w:rPr>
          <w:szCs w:val="26"/>
        </w:rPr>
        <w:t>1.</w:t>
      </w:r>
      <w:r>
        <w:rPr>
          <w:szCs w:val="26"/>
        </w:rPr>
        <w:tab/>
      </w:r>
      <w:r w:rsidRPr="0031095E">
        <w:rPr>
          <w:szCs w:val="26"/>
        </w:rPr>
        <w:t>Under Minn. Stat. § 501B.86, subd. 3 (2008), a disclaimant’s interest in property is indefeasibly fixed in quality when the interest is transmissible in every particular and in every sense.</w:t>
      </w:r>
    </w:p>
    <w:p w:rsidR="00A6742C" w:rsidRPr="0031095E" w:rsidRDefault="00A6742C" w:rsidP="00A6742C">
      <w:pPr>
        <w:autoSpaceDE w:val="0"/>
        <w:autoSpaceDN w:val="0"/>
        <w:adjustRightInd w:val="0"/>
        <w:ind w:firstLine="720"/>
        <w:rPr>
          <w:szCs w:val="26"/>
        </w:rPr>
      </w:pPr>
      <w:r>
        <w:rPr>
          <w:szCs w:val="26"/>
        </w:rPr>
        <w:t>2.</w:t>
      </w:r>
      <w:r>
        <w:rPr>
          <w:szCs w:val="26"/>
        </w:rPr>
        <w:tab/>
      </w:r>
      <w:r w:rsidRPr="0031095E">
        <w:rPr>
          <w:szCs w:val="26"/>
        </w:rPr>
        <w:t>A disclaimant who accepts payments of income from a trust is not barred by Minn. Stat. § 524.2-1106(b)(1) (2010) from disclaiming later payments of income from the trust.</w:t>
      </w:r>
    </w:p>
    <w:p w:rsidR="00A6742C" w:rsidRDefault="00A6742C" w:rsidP="00A6742C">
      <w:pPr>
        <w:pStyle w:val="FootnoteText"/>
        <w:tabs>
          <w:tab w:val="left" w:pos="720"/>
          <w:tab w:val="left" w:pos="1440"/>
          <w:tab w:val="left" w:pos="2160"/>
        </w:tabs>
      </w:pPr>
    </w:p>
    <w:p w:rsidR="00A6742C" w:rsidRPr="00B40B7E" w:rsidRDefault="00A6742C" w:rsidP="00A6742C">
      <w:pPr>
        <w:spacing w:before="60"/>
        <w:rPr>
          <w:b/>
          <w:i/>
        </w:rPr>
      </w:pPr>
      <w:r w:rsidRPr="00B40B7E">
        <w:rPr>
          <w:b/>
          <w:i/>
        </w:rPr>
        <w:t>In re Estate of Neuman</w:t>
      </w:r>
      <w:r w:rsidRPr="00B40B7E">
        <w:rPr>
          <w:b/>
        </w:rPr>
        <w:t>, 819 N.W.2d 211 (Minn. App. Aug. 6, 2012) (A11-1695).</w:t>
      </w:r>
    </w:p>
    <w:p w:rsidR="00A6742C" w:rsidRPr="00231150" w:rsidRDefault="00A6742C" w:rsidP="00D16583">
      <w:pPr>
        <w:pStyle w:val="FootnoteText"/>
        <w:tabs>
          <w:tab w:val="left" w:pos="720"/>
          <w:tab w:val="left" w:pos="1440"/>
          <w:tab w:val="left" w:pos="2160"/>
        </w:tabs>
      </w:pPr>
      <w:r>
        <w:tab/>
        <w:t>A personal representative’s employee-employer relationship with her co-personal representative does not relieve her of her fiduciary duty to act in the best interests of the estate or to protect the estate from her co-representative’s self-dealing.</w:t>
      </w:r>
    </w:p>
    <w:p w:rsidR="00A6742C" w:rsidRDefault="00A6742C" w:rsidP="00A6742C">
      <w:pPr>
        <w:pStyle w:val="FootnoteText"/>
        <w:tabs>
          <w:tab w:val="left" w:pos="720"/>
          <w:tab w:val="left" w:pos="1440"/>
          <w:tab w:val="left" w:pos="2160"/>
        </w:tabs>
      </w:pPr>
    </w:p>
    <w:p w:rsidR="00A6742C" w:rsidRDefault="00A6742C" w:rsidP="00A6742C">
      <w:pPr>
        <w:pStyle w:val="FootnoteText"/>
        <w:tabs>
          <w:tab w:val="left" w:pos="720"/>
          <w:tab w:val="left" w:pos="1440"/>
          <w:tab w:val="left" w:pos="2160"/>
        </w:tabs>
      </w:pPr>
    </w:p>
    <w:p w:rsidR="00A6742C" w:rsidRPr="00EF617E" w:rsidRDefault="00A6742C" w:rsidP="00A6742C">
      <w:pPr>
        <w:tabs>
          <w:tab w:val="left" w:pos="720"/>
          <w:tab w:val="left" w:pos="1440"/>
          <w:tab w:val="left" w:pos="2160"/>
        </w:tabs>
        <w:rPr>
          <w:b/>
          <w:u w:val="single"/>
        </w:rPr>
      </w:pPr>
      <w:r>
        <w:rPr>
          <w:b/>
          <w:u w:val="single"/>
        </w:rPr>
        <w:t>Real Property</w:t>
      </w:r>
    </w:p>
    <w:p w:rsidR="00A6742C" w:rsidRDefault="00A6742C" w:rsidP="00A6742C">
      <w:pPr>
        <w:autoSpaceDE w:val="0"/>
        <w:autoSpaceDN w:val="0"/>
        <w:adjustRightInd w:val="0"/>
        <w:rPr>
          <w:i/>
          <w:szCs w:val="26"/>
        </w:rPr>
      </w:pPr>
    </w:p>
    <w:p w:rsidR="00D16583" w:rsidRPr="00B40B7E" w:rsidRDefault="00D16583" w:rsidP="00D16583">
      <w:pPr>
        <w:widowControl w:val="0"/>
        <w:rPr>
          <w:b/>
        </w:rPr>
      </w:pPr>
      <w:r w:rsidRPr="00B40B7E">
        <w:rPr>
          <w:b/>
          <w:i/>
        </w:rPr>
        <w:t>Dimke v. Farr</w:t>
      </w:r>
      <w:r w:rsidRPr="00B40B7E">
        <w:rPr>
          <w:b/>
        </w:rPr>
        <w:t xml:space="preserve">, 802 N.W.2d 860 (Minn. App. Sept. 12, 2011), </w:t>
      </w:r>
      <w:r w:rsidRPr="00B40B7E">
        <w:rPr>
          <w:b/>
          <w:i/>
        </w:rPr>
        <w:t>review denied</w:t>
      </w:r>
      <w:r w:rsidRPr="00B40B7E">
        <w:rPr>
          <w:b/>
        </w:rPr>
        <w:t xml:space="preserve"> (Minn. Nov. 22, 2011) (A11-0329).</w:t>
      </w:r>
    </w:p>
    <w:p w:rsidR="00D16583" w:rsidRPr="00E75643" w:rsidRDefault="00D16583" w:rsidP="00D16583">
      <w:pPr>
        <w:pStyle w:val="Default"/>
        <w:jc w:val="both"/>
      </w:pPr>
      <w:r>
        <w:rPr>
          <w:sz w:val="26"/>
          <w:szCs w:val="26"/>
        </w:rPr>
        <w:tab/>
      </w:r>
      <w:r w:rsidRPr="00E75643">
        <w:rPr>
          <w:sz w:val="26"/>
          <w:szCs w:val="26"/>
        </w:rPr>
        <w:t xml:space="preserve">An “unfulfilled condition” of a purchase agreement is a threshold requirement that permits a buyer or a seller to invoke declaratory cancellation of a purchase agreement for residential real property under Minn. Stat. § 559.217, subd. 4 (2010). Absent an </w:t>
      </w:r>
      <w:r w:rsidRPr="00E75643">
        <w:rPr>
          <w:color w:val="auto"/>
          <w:sz w:val="26"/>
          <w:szCs w:val="26"/>
        </w:rPr>
        <w:t>unfulfilled condition of the purchase agreement, a declaratory cancellation of a purchase agreement for residential real property is ineffective.</w:t>
      </w:r>
    </w:p>
    <w:p w:rsidR="00D16583" w:rsidRDefault="00D16583" w:rsidP="00A6742C">
      <w:pPr>
        <w:autoSpaceDE w:val="0"/>
        <w:autoSpaceDN w:val="0"/>
        <w:adjustRightInd w:val="0"/>
        <w:rPr>
          <w:i/>
          <w:szCs w:val="26"/>
        </w:rPr>
      </w:pPr>
    </w:p>
    <w:p w:rsidR="00A6742C" w:rsidRPr="00B40B7E" w:rsidRDefault="00A6742C" w:rsidP="00A6742C">
      <w:pPr>
        <w:autoSpaceDE w:val="0"/>
        <w:autoSpaceDN w:val="0"/>
        <w:adjustRightInd w:val="0"/>
        <w:rPr>
          <w:b/>
          <w:szCs w:val="26"/>
        </w:rPr>
      </w:pPr>
      <w:r w:rsidRPr="00B40B7E">
        <w:rPr>
          <w:b/>
          <w:i/>
          <w:szCs w:val="26"/>
        </w:rPr>
        <w:t>Horodenski v. Lyndale Green Townhome Ass’n.</w:t>
      </w:r>
      <w:r w:rsidRPr="00B40B7E">
        <w:rPr>
          <w:b/>
          <w:szCs w:val="26"/>
        </w:rPr>
        <w:t>, 804 N.W.2d 366 (Minn. App. Sept. 19, 2011)</w:t>
      </w:r>
      <w:r w:rsidRPr="00B40B7E">
        <w:rPr>
          <w:b/>
          <w:i/>
          <w:szCs w:val="26"/>
        </w:rPr>
        <w:t xml:space="preserve"> </w:t>
      </w:r>
      <w:r w:rsidRPr="00B40B7E">
        <w:rPr>
          <w:b/>
          <w:szCs w:val="26"/>
        </w:rPr>
        <w:t>(A11-0289).</w:t>
      </w:r>
    </w:p>
    <w:p w:rsidR="00A6742C" w:rsidRPr="00854DC2" w:rsidRDefault="00A6742C" w:rsidP="00A6742C">
      <w:pPr>
        <w:autoSpaceDE w:val="0"/>
        <w:autoSpaceDN w:val="0"/>
        <w:adjustRightInd w:val="0"/>
        <w:ind w:firstLine="720"/>
        <w:rPr>
          <w:szCs w:val="26"/>
        </w:rPr>
      </w:pPr>
      <w:r w:rsidRPr="00854DC2">
        <w:rPr>
          <w:szCs w:val="26"/>
        </w:rPr>
        <w:t>Under Minn. Stat. § 515B.3-115(e)(4) (2010), attorney fees that a unit-owners’ association may recover “in connection with” the collection of assessments and enforcement of a common interest community’s declaration instrument are not limited to fees incurred in a collection action or other action to enforce the declaration.</w:t>
      </w:r>
    </w:p>
    <w:p w:rsidR="00A6742C" w:rsidRDefault="00A6742C" w:rsidP="00A6742C">
      <w:pPr>
        <w:autoSpaceDE w:val="0"/>
        <w:autoSpaceDN w:val="0"/>
        <w:adjustRightInd w:val="0"/>
        <w:rPr>
          <w:i/>
          <w:szCs w:val="26"/>
        </w:rPr>
      </w:pPr>
    </w:p>
    <w:p w:rsidR="00A6742C" w:rsidRPr="00B40B7E" w:rsidRDefault="00A6742C" w:rsidP="00A6742C">
      <w:pPr>
        <w:widowControl w:val="0"/>
        <w:rPr>
          <w:b/>
        </w:rPr>
      </w:pPr>
      <w:r w:rsidRPr="00B40B7E">
        <w:rPr>
          <w:b/>
          <w:i/>
        </w:rPr>
        <w:t>Slattengren &amp; Sons Props., LLC v. RTS River Bluff LLC</w:t>
      </w:r>
      <w:r w:rsidRPr="00B40B7E">
        <w:rPr>
          <w:b/>
        </w:rPr>
        <w:t xml:space="preserve">, 805 N.W.2d 279 (Minn. App. Oct. 11, 2011), </w:t>
      </w:r>
      <w:r w:rsidRPr="00B40B7E">
        <w:rPr>
          <w:b/>
          <w:i/>
        </w:rPr>
        <w:t>review granted</w:t>
      </w:r>
      <w:r w:rsidRPr="00B40B7E">
        <w:rPr>
          <w:b/>
        </w:rPr>
        <w:t xml:space="preserve"> (Minn. Dec. 13, 2011), </w:t>
      </w:r>
      <w:r w:rsidRPr="00B40B7E">
        <w:rPr>
          <w:b/>
          <w:i/>
        </w:rPr>
        <w:t xml:space="preserve">appeal dismissed </w:t>
      </w:r>
      <w:r w:rsidRPr="00B40B7E">
        <w:rPr>
          <w:b/>
        </w:rPr>
        <w:t>(Minn. Mar. 7, 2012) (A11-0322).</w:t>
      </w:r>
    </w:p>
    <w:p w:rsidR="00A6742C" w:rsidRPr="00970C2F" w:rsidRDefault="00A6742C" w:rsidP="00A6742C">
      <w:pPr>
        <w:rPr>
          <w:szCs w:val="26"/>
        </w:rPr>
      </w:pPr>
      <w:r>
        <w:rPr>
          <w:szCs w:val="26"/>
        </w:rPr>
        <w:tab/>
      </w:r>
      <w:r w:rsidRPr="00970C2F">
        <w:rPr>
          <w:szCs w:val="26"/>
        </w:rPr>
        <w:t>When a third-party lender’s purchase-money mortgage and a vendor’s purchase-money mortgage are taken as part of the same transaction, the mortgages arise simultaneously and the order in which the purchase-money mortgages are recorded establishes their priority.</w:t>
      </w:r>
    </w:p>
    <w:p w:rsidR="00A6742C" w:rsidRDefault="00A6742C" w:rsidP="00A6742C">
      <w:pPr>
        <w:rPr>
          <w:i/>
        </w:rPr>
      </w:pPr>
    </w:p>
    <w:p w:rsidR="00A6742C" w:rsidRPr="00B40B7E" w:rsidRDefault="00A6742C" w:rsidP="00A6742C">
      <w:pPr>
        <w:rPr>
          <w:b/>
        </w:rPr>
      </w:pPr>
      <w:r w:rsidRPr="00B40B7E">
        <w:rPr>
          <w:b/>
          <w:i/>
        </w:rPr>
        <w:lastRenderedPageBreak/>
        <w:t>HSBC Mortg. Servs. v. Graikowski</w:t>
      </w:r>
      <w:r w:rsidRPr="00B40B7E">
        <w:rPr>
          <w:b/>
        </w:rPr>
        <w:t xml:space="preserve">, 812 N.W.2d 845 (Minn. App. Mar. 26, 2012), </w:t>
      </w:r>
      <w:r w:rsidRPr="00B40B7E">
        <w:rPr>
          <w:b/>
          <w:i/>
        </w:rPr>
        <w:t xml:space="preserve">review denied </w:t>
      </w:r>
      <w:r w:rsidRPr="00B40B7E">
        <w:rPr>
          <w:b/>
        </w:rPr>
        <w:t>(Minn. June 19, 2012) (A11-1456).</w:t>
      </w:r>
    </w:p>
    <w:p w:rsidR="00A6742C" w:rsidRDefault="00A6742C" w:rsidP="00A6742C">
      <w:pPr>
        <w:ind w:firstLine="720"/>
        <w:rPr>
          <w:szCs w:val="26"/>
        </w:rPr>
      </w:pPr>
      <w:r>
        <w:rPr>
          <w:szCs w:val="26"/>
        </w:rPr>
        <w:t xml:space="preserve">A signing spouse is equitably estopped from challenging the validity of a mortgage under Minn. Stat. § 507.02 (2010) on the basis that the nonsigning spouse did not sign the mortgage, when (1) the signing spouse procured the mortgage through an intentional or negligent misrepresentation of fact, (2) the lender relied on the misrepresentation to its detriment, and (3) the signing spouse retained the benefits of the mortgage. </w:t>
      </w:r>
    </w:p>
    <w:p w:rsidR="00D16583" w:rsidRDefault="00D16583" w:rsidP="00A6742C">
      <w:pPr>
        <w:ind w:firstLine="720"/>
        <w:rPr>
          <w:szCs w:val="26"/>
        </w:rPr>
      </w:pPr>
    </w:p>
    <w:p w:rsidR="00D16583" w:rsidRPr="00B40B7E" w:rsidRDefault="00D16583" w:rsidP="00D16583">
      <w:pPr>
        <w:tabs>
          <w:tab w:val="left" w:pos="720"/>
          <w:tab w:val="left" w:pos="1440"/>
          <w:tab w:val="left" w:pos="2160"/>
        </w:tabs>
        <w:rPr>
          <w:b/>
        </w:rPr>
      </w:pPr>
      <w:r w:rsidRPr="00B40B7E">
        <w:rPr>
          <w:b/>
          <w:i/>
        </w:rPr>
        <w:t>Ortell v. City of Nowthen</w:t>
      </w:r>
      <w:r w:rsidRPr="00B40B7E">
        <w:rPr>
          <w:b/>
        </w:rPr>
        <w:t>, 814 N.W.2d 40 (Minn. App. Apr. 2, 2012) (A11-1155).</w:t>
      </w:r>
    </w:p>
    <w:p w:rsidR="00D16583" w:rsidRPr="009526F7" w:rsidRDefault="00D16583" w:rsidP="00D16583">
      <w:pPr>
        <w:tabs>
          <w:tab w:val="left" w:pos="720"/>
          <w:tab w:val="left" w:pos="1440"/>
          <w:tab w:val="left" w:pos="2160"/>
        </w:tabs>
      </w:pPr>
      <w:r>
        <w:tab/>
      </w:r>
      <w:r w:rsidRPr="009526F7">
        <w:t>Under Minn. Stat. § 462.357, subd. 1e(a)(2) (2010), a nonconformity may be continued until it is destroyed to the extent of greater than 50 percent of its value and no building permit is applied for within 180 days after the property is damaged. If a building permit is applied for within 180 days of the damage, the municipality may impose reasonable conditions on the building permit to mitigate any newly created impact on adjacent properties or water bodies. But if no building permit is applied for within 180 days of the damage, the nonconformity must end and any subsequent use or occupancy must be a conforming one</w:t>
      </w:r>
      <w:r>
        <w:t>.</w:t>
      </w:r>
    </w:p>
    <w:p w:rsidR="00D16583" w:rsidRDefault="00D16583" w:rsidP="00D16583">
      <w:pPr>
        <w:tabs>
          <w:tab w:val="left" w:pos="720"/>
          <w:tab w:val="left" w:pos="1440"/>
          <w:tab w:val="left" w:pos="2160"/>
        </w:tabs>
      </w:pPr>
    </w:p>
    <w:p w:rsidR="00D16583" w:rsidRPr="00B40B7E" w:rsidRDefault="00D16583" w:rsidP="00D16583">
      <w:pPr>
        <w:rPr>
          <w:b/>
        </w:rPr>
      </w:pPr>
      <w:r w:rsidRPr="00B40B7E">
        <w:rPr>
          <w:b/>
          <w:i/>
        </w:rPr>
        <w:t>Gallaher v. Titler</w:t>
      </w:r>
      <w:r w:rsidRPr="00B40B7E">
        <w:rPr>
          <w:b/>
        </w:rPr>
        <w:t xml:space="preserve">, 812 N.W.2d 897 (Minn. App. Apr. 30, 2012), </w:t>
      </w:r>
      <w:r w:rsidRPr="00B40B7E">
        <w:rPr>
          <w:b/>
          <w:i/>
        </w:rPr>
        <w:t>review denied</w:t>
      </w:r>
      <w:r w:rsidRPr="00B40B7E">
        <w:rPr>
          <w:b/>
        </w:rPr>
        <w:t xml:space="preserve"> (Minn. July 17, 2012) (A11-1338).</w:t>
      </w:r>
    </w:p>
    <w:p w:rsidR="00D16583" w:rsidRDefault="00D16583" w:rsidP="00D16583">
      <w:pPr>
        <w:ind w:firstLine="720"/>
        <w:rPr>
          <w:szCs w:val="26"/>
        </w:rPr>
      </w:pPr>
      <w:r>
        <w:rPr>
          <w:szCs w:val="26"/>
        </w:rPr>
        <w:t>An assessment-lien-</w:t>
      </w:r>
      <w:r w:rsidRPr="00802FE7">
        <w:rPr>
          <w:szCs w:val="26"/>
        </w:rPr>
        <w:t>foreclosure sale</w:t>
      </w:r>
      <w:r>
        <w:rPr>
          <w:szCs w:val="26"/>
        </w:rPr>
        <w:t xml:space="preserve"> </w:t>
      </w:r>
      <w:r w:rsidRPr="00802FE7">
        <w:rPr>
          <w:szCs w:val="26"/>
        </w:rPr>
        <w:t xml:space="preserve">held </w:t>
      </w:r>
      <w:r>
        <w:rPr>
          <w:szCs w:val="26"/>
        </w:rPr>
        <w:t>on the 42nd day after the first day of publication of the notice of sale is valid u</w:t>
      </w:r>
      <w:r w:rsidRPr="00802FE7">
        <w:rPr>
          <w:szCs w:val="26"/>
        </w:rPr>
        <w:t xml:space="preserve">nder </w:t>
      </w:r>
      <w:r>
        <w:rPr>
          <w:szCs w:val="26"/>
        </w:rPr>
        <w:t xml:space="preserve">Minn. Stat. § 580.03 </w:t>
      </w:r>
      <w:r w:rsidRPr="004B0A88">
        <w:rPr>
          <w:szCs w:val="26"/>
        </w:rPr>
        <w:t>(2010)</w:t>
      </w:r>
      <w:r>
        <w:rPr>
          <w:szCs w:val="26"/>
        </w:rPr>
        <w:t>.</w:t>
      </w:r>
    </w:p>
    <w:p w:rsidR="00D16583" w:rsidRPr="00D16583" w:rsidRDefault="00D16583" w:rsidP="00D16583">
      <w:pPr>
        <w:ind w:firstLine="720"/>
        <w:rPr>
          <w:b/>
          <w:szCs w:val="26"/>
        </w:rPr>
      </w:pPr>
      <w:r>
        <w:rPr>
          <w:szCs w:val="26"/>
        </w:rPr>
        <w:t xml:space="preserve">Minnesota Statutes section </w:t>
      </w:r>
      <w:r w:rsidRPr="00DA0406">
        <w:rPr>
          <w:szCs w:val="26"/>
        </w:rPr>
        <w:t>582.25</w:t>
      </w:r>
      <w:r>
        <w:rPr>
          <w:szCs w:val="26"/>
        </w:rPr>
        <w:t>(3)(a) (</w:t>
      </w:r>
      <w:r w:rsidRPr="004B0A88">
        <w:rPr>
          <w:szCs w:val="26"/>
        </w:rPr>
        <w:t>2010)</w:t>
      </w:r>
      <w:r>
        <w:rPr>
          <w:szCs w:val="26"/>
        </w:rPr>
        <w:t xml:space="preserve"> applies to actions challenging the validity of an assessment-lien-foreclosure sale based on an alleged defect in the published notice of sale and therefore bars actions based on such an alleged defect unless objection to the defect is made within one year following expiration of the foreclosure-redemption period. </w:t>
      </w:r>
    </w:p>
    <w:p w:rsidR="00A6742C" w:rsidRDefault="00A6742C" w:rsidP="00A6742C">
      <w:pPr>
        <w:ind w:firstLine="720"/>
        <w:rPr>
          <w:szCs w:val="26"/>
        </w:rPr>
      </w:pPr>
    </w:p>
    <w:p w:rsidR="00A6742C" w:rsidRPr="00B40B7E" w:rsidRDefault="00A6742C" w:rsidP="00A6742C">
      <w:pPr>
        <w:rPr>
          <w:b/>
        </w:rPr>
      </w:pPr>
      <w:r w:rsidRPr="00B40B7E">
        <w:rPr>
          <w:b/>
          <w:i/>
        </w:rPr>
        <w:t>Jensen Field Relocation Claims Jensen Field, Inc. v. Board of Regents of Univ. of Minn.</w:t>
      </w:r>
      <w:r w:rsidRPr="00B40B7E">
        <w:rPr>
          <w:b/>
        </w:rPr>
        <w:t>, 817 N.W.2d 724 (Minn. App. June 25, 2012) (A11-1942).</w:t>
      </w:r>
    </w:p>
    <w:p w:rsidR="00A6742C" w:rsidRDefault="00A6742C" w:rsidP="00A6742C">
      <w:pPr>
        <w:pStyle w:val="Heading1"/>
        <w:keepNext w:val="0"/>
        <w:tabs>
          <w:tab w:val="left" w:pos="720"/>
          <w:tab w:val="left" w:pos="1440"/>
        </w:tabs>
        <w:rPr>
          <w:b w:val="0"/>
          <w:szCs w:val="26"/>
        </w:rPr>
      </w:pPr>
      <w:r>
        <w:rPr>
          <w:b w:val="0"/>
          <w:szCs w:val="26"/>
        </w:rPr>
        <w:tab/>
        <w:t>1.</w:t>
      </w:r>
      <w:r>
        <w:rPr>
          <w:b w:val="0"/>
          <w:szCs w:val="26"/>
        </w:rPr>
        <w:tab/>
        <w:t xml:space="preserve">A displacing agency under the Uniform Relocation Assistance and Real Property Acquisition Policy Act of 1970 (URA), 42 U.S.C. §§ 4601−55 (2006), does not violate </w:t>
      </w:r>
      <w:r>
        <w:rPr>
          <w:b w:val="0"/>
        </w:rPr>
        <w:t>Minn. Stat. §§</w:t>
      </w:r>
      <w:r w:rsidRPr="009B42FD">
        <w:rPr>
          <w:b w:val="0"/>
        </w:rPr>
        <w:t xml:space="preserve"> 117.012, subd. 1, 117.52, subd. 4</w:t>
      </w:r>
      <w:r>
        <w:rPr>
          <w:b w:val="0"/>
        </w:rPr>
        <w:t xml:space="preserve"> (2010)</w:t>
      </w:r>
      <w:r w:rsidRPr="009B42FD">
        <w:rPr>
          <w:b w:val="0"/>
        </w:rPr>
        <w:t>,</w:t>
      </w:r>
      <w:r>
        <w:t xml:space="preserve"> </w:t>
      </w:r>
      <w:r w:rsidRPr="009B42FD">
        <w:rPr>
          <w:b w:val="0"/>
        </w:rPr>
        <w:t>when it</w:t>
      </w:r>
      <w:r>
        <w:t xml:space="preserve"> </w:t>
      </w:r>
      <w:r>
        <w:rPr>
          <w:b w:val="0"/>
          <w:szCs w:val="26"/>
        </w:rPr>
        <w:t xml:space="preserve">follows the procedures for appeal set forth in 49 C.F.R. § 24.10(b), (g)−(h) (2010), to satisfy the appeal rights of a person claiming a right to relocation benefits. </w:t>
      </w:r>
    </w:p>
    <w:p w:rsidR="00A6742C" w:rsidRDefault="00A6742C" w:rsidP="00A6742C">
      <w:pPr>
        <w:pStyle w:val="Heading1"/>
        <w:keepNext w:val="0"/>
        <w:tabs>
          <w:tab w:val="left" w:pos="720"/>
          <w:tab w:val="left" w:pos="1440"/>
        </w:tabs>
        <w:rPr>
          <w:b w:val="0"/>
        </w:rPr>
      </w:pPr>
      <w:r>
        <w:rPr>
          <w:b w:val="0"/>
          <w:szCs w:val="26"/>
        </w:rPr>
        <w:tab/>
        <w:t>2.</w:t>
      </w:r>
      <w:r>
        <w:rPr>
          <w:b w:val="0"/>
          <w:szCs w:val="26"/>
        </w:rPr>
        <w:tab/>
        <w:t>Under the URA, tenants are displaced persons w</w:t>
      </w:r>
      <w:r>
        <w:rPr>
          <w:b w:val="0"/>
        </w:rPr>
        <w:t>hen their landlord, which is the displacing agency, informs them that it will not renew their lease because of a project for which it has received federal funds.</w:t>
      </w:r>
    </w:p>
    <w:p w:rsidR="00A6742C" w:rsidRDefault="00A6742C" w:rsidP="00D16583">
      <w:pPr>
        <w:pStyle w:val="Heading1"/>
        <w:keepNext w:val="0"/>
        <w:tabs>
          <w:tab w:val="left" w:pos="720"/>
          <w:tab w:val="left" w:pos="1440"/>
        </w:tabs>
      </w:pPr>
      <w:r>
        <w:rPr>
          <w:b w:val="0"/>
        </w:rPr>
        <w:tab/>
        <w:t>3.</w:t>
      </w:r>
      <w:r>
        <w:rPr>
          <w:b w:val="0"/>
        </w:rPr>
        <w:tab/>
        <w:t xml:space="preserve">Displaced persons are entitled to reimbursement for their estimated moving expenses when they inform the displacing agency of </w:t>
      </w:r>
      <w:r w:rsidRPr="00B054D1">
        <w:rPr>
          <w:b w:val="0"/>
          <w:szCs w:val="26"/>
        </w:rPr>
        <w:t>their intent to seek relocation</w:t>
      </w:r>
      <w:r>
        <w:rPr>
          <w:b w:val="0"/>
          <w:szCs w:val="26"/>
        </w:rPr>
        <w:t xml:space="preserve"> </w:t>
      </w:r>
      <w:r w:rsidRPr="00B054D1">
        <w:rPr>
          <w:b w:val="0"/>
          <w:szCs w:val="26"/>
        </w:rPr>
        <w:t xml:space="preserve"> </w:t>
      </w:r>
      <w:r w:rsidRPr="00B054D1">
        <w:rPr>
          <w:b w:val="0"/>
          <w:szCs w:val="26"/>
        </w:rPr>
        <w:lastRenderedPageBreak/>
        <w:t>benefits three months before their displacement, elect a self-move under 49 C.F.R. §</w:t>
      </w:r>
      <w:r>
        <w:rPr>
          <w:b w:val="0"/>
          <w:szCs w:val="26"/>
        </w:rPr>
        <w:t> </w:t>
      </w:r>
      <w:r w:rsidRPr="00B054D1">
        <w:rPr>
          <w:b w:val="0"/>
          <w:szCs w:val="26"/>
        </w:rPr>
        <w:t xml:space="preserve">24.301(d)(2) (2010), obtain one moving estimate, </w:t>
      </w:r>
      <w:r>
        <w:rPr>
          <w:b w:val="0"/>
          <w:szCs w:val="26"/>
        </w:rPr>
        <w:t xml:space="preserve">and </w:t>
      </w:r>
      <w:r w:rsidRPr="00B054D1">
        <w:rPr>
          <w:b w:val="0"/>
          <w:szCs w:val="26"/>
        </w:rPr>
        <w:t xml:space="preserve">the </w:t>
      </w:r>
      <w:r>
        <w:rPr>
          <w:b w:val="0"/>
          <w:szCs w:val="26"/>
        </w:rPr>
        <w:t>displacing agency thereafter provides no relocation assistance to the displaced persons.</w:t>
      </w:r>
      <w:r w:rsidRPr="00B054D1">
        <w:rPr>
          <w:b w:val="0"/>
        </w:rPr>
        <w:tab/>
      </w:r>
    </w:p>
    <w:p w:rsidR="00A6742C" w:rsidRDefault="00A6742C" w:rsidP="00A6742C">
      <w:pPr>
        <w:rPr>
          <w:szCs w:val="26"/>
        </w:rPr>
      </w:pPr>
    </w:p>
    <w:p w:rsidR="00A6742C" w:rsidRPr="00B40B7E" w:rsidRDefault="00A6742C" w:rsidP="00A6742C">
      <w:pPr>
        <w:rPr>
          <w:b/>
        </w:rPr>
      </w:pPr>
      <w:r w:rsidRPr="00B40B7E">
        <w:rPr>
          <w:b/>
          <w:i/>
        </w:rPr>
        <w:t>Big Lake Lumber v.</w:t>
      </w:r>
      <w:r w:rsidR="00402B68" w:rsidRPr="00B40B7E">
        <w:rPr>
          <w:b/>
          <w:i/>
        </w:rPr>
        <w:t xml:space="preserve"> Security</w:t>
      </w:r>
      <w:r w:rsidRPr="00B40B7E">
        <w:rPr>
          <w:b/>
          <w:i/>
        </w:rPr>
        <w:t xml:space="preserve"> Prop. Invs.</w:t>
      </w:r>
      <w:r w:rsidRPr="00B40B7E">
        <w:rPr>
          <w:b/>
        </w:rPr>
        <w:t xml:space="preserve">, 820 N.W.2d 253 (Minn. App. Aug. 27, 2012), </w:t>
      </w:r>
      <w:r w:rsidRPr="00B40B7E">
        <w:rPr>
          <w:b/>
          <w:i/>
        </w:rPr>
        <w:t>pet. for review filed</w:t>
      </w:r>
      <w:r w:rsidRPr="00B40B7E">
        <w:rPr>
          <w:b/>
        </w:rPr>
        <w:t xml:space="preserve"> (Minn. Sept. 26, 2012) (A11-2220).</w:t>
      </w:r>
    </w:p>
    <w:p w:rsidR="00A6742C" w:rsidRDefault="00A6742C" w:rsidP="00A6742C">
      <w:pPr>
        <w:ind w:firstLine="720"/>
      </w:pPr>
      <w:r w:rsidRPr="00F2604F">
        <w:t>To establish priority over a mortgage under the relation-back doctrine and Minn. Stat. § 514.05 (2010), a mechanic’s-lien claimant must prove that its contribution of material or labor relates directly to one continuous project of improvement to the property</w:t>
      </w:r>
      <w:r>
        <w:t>,</w:t>
      </w:r>
      <w:r w:rsidRPr="00F2604F">
        <w:t xml:space="preserve"> not </w:t>
      </w:r>
      <w:r>
        <w:t xml:space="preserve">merely </w:t>
      </w:r>
      <w:r w:rsidRPr="00F2604F">
        <w:t xml:space="preserve">to the overall </w:t>
      </w:r>
      <w:r>
        <w:t xml:space="preserve">project of </w:t>
      </w:r>
      <w:r w:rsidRPr="00F2604F">
        <w:t xml:space="preserve">improvement. </w:t>
      </w:r>
    </w:p>
    <w:p w:rsidR="00A6742C" w:rsidRDefault="00A6742C" w:rsidP="00A6742C">
      <w:pPr>
        <w:ind w:firstLine="720"/>
      </w:pPr>
    </w:p>
    <w:p w:rsidR="00402B68" w:rsidRDefault="00402B68" w:rsidP="00A6742C">
      <w:pPr>
        <w:ind w:firstLine="720"/>
      </w:pPr>
    </w:p>
    <w:p w:rsidR="00402B68" w:rsidRPr="00EF617E" w:rsidRDefault="00402B68" w:rsidP="00402B68">
      <w:pPr>
        <w:tabs>
          <w:tab w:val="left" w:pos="720"/>
          <w:tab w:val="left" w:pos="1440"/>
          <w:tab w:val="left" w:pos="2160"/>
        </w:tabs>
        <w:rPr>
          <w:b/>
          <w:u w:val="single"/>
        </w:rPr>
      </w:pPr>
      <w:r>
        <w:rPr>
          <w:b/>
          <w:u w:val="single"/>
        </w:rPr>
        <w:t>Remedies</w:t>
      </w:r>
    </w:p>
    <w:p w:rsidR="00402B68" w:rsidRDefault="00402B68" w:rsidP="00402B68">
      <w:pPr>
        <w:tabs>
          <w:tab w:val="left" w:pos="720"/>
          <w:tab w:val="left" w:pos="1440"/>
        </w:tabs>
      </w:pPr>
    </w:p>
    <w:p w:rsidR="00402B68" w:rsidRPr="00B40B7E" w:rsidRDefault="00402B68" w:rsidP="00402B68">
      <w:pPr>
        <w:spacing w:before="60"/>
        <w:rPr>
          <w:b/>
          <w:i/>
        </w:rPr>
      </w:pPr>
      <w:r w:rsidRPr="00B40B7E">
        <w:rPr>
          <w:b/>
          <w:i/>
        </w:rPr>
        <w:t>Community First Bank v. First United Funding, LLC</w:t>
      </w:r>
      <w:r w:rsidRPr="00B40B7E">
        <w:rPr>
          <w:b/>
        </w:rPr>
        <w:t>, ___ N.W.2d ___, 2012 WL 2874048 (Minn. App. July 16, 2012) (A12-0040).</w:t>
      </w:r>
    </w:p>
    <w:p w:rsidR="00402B68" w:rsidRPr="002A2E97" w:rsidRDefault="00402B68" w:rsidP="00402B68">
      <w:pPr>
        <w:tabs>
          <w:tab w:val="left" w:pos="720"/>
          <w:tab w:val="left" w:pos="1440"/>
        </w:tabs>
      </w:pPr>
      <w:r>
        <w:tab/>
        <w:t xml:space="preserve">In an equitable proceeding to compensate the victims of a Ponzi scheme, the district court has broad discretion to adopt a method that fairly and reasonably distributes the recovered funds.  </w:t>
      </w:r>
    </w:p>
    <w:p w:rsidR="00A6742C" w:rsidRDefault="00A6742C" w:rsidP="00A6742C">
      <w:pPr>
        <w:rPr>
          <w:szCs w:val="26"/>
        </w:rPr>
      </w:pPr>
    </w:p>
    <w:p w:rsidR="00402B68" w:rsidRPr="00C95551" w:rsidRDefault="00402B68" w:rsidP="00A6742C">
      <w:pPr>
        <w:rPr>
          <w:szCs w:val="26"/>
        </w:rPr>
      </w:pPr>
    </w:p>
    <w:p w:rsidR="00A6742C" w:rsidRPr="008D3794" w:rsidRDefault="00A6742C" w:rsidP="00A6742C">
      <w:pPr>
        <w:pStyle w:val="FootnoteText"/>
        <w:tabs>
          <w:tab w:val="left" w:pos="720"/>
          <w:tab w:val="left" w:pos="1440"/>
          <w:tab w:val="left" w:pos="2160"/>
        </w:tabs>
        <w:rPr>
          <w:b/>
          <w:u w:val="single"/>
        </w:rPr>
      </w:pPr>
      <w:r>
        <w:rPr>
          <w:b/>
          <w:u w:val="single"/>
        </w:rPr>
        <w:t>Torts</w:t>
      </w:r>
    </w:p>
    <w:p w:rsidR="00A6742C" w:rsidRDefault="00A6742C" w:rsidP="00A6742C">
      <w:pPr>
        <w:tabs>
          <w:tab w:val="left" w:pos="720"/>
          <w:tab w:val="left" w:pos="1440"/>
        </w:tabs>
      </w:pPr>
    </w:p>
    <w:p w:rsidR="00A6742C" w:rsidRPr="00B40B7E" w:rsidRDefault="00A6742C" w:rsidP="00A6742C">
      <w:pPr>
        <w:widowControl w:val="0"/>
        <w:rPr>
          <w:b/>
        </w:rPr>
      </w:pPr>
      <w:r w:rsidRPr="00B40B7E">
        <w:rPr>
          <w:b/>
          <w:i/>
        </w:rPr>
        <w:t>Zimbovskiy v. Union Pac. R.R. Co.</w:t>
      </w:r>
      <w:r w:rsidRPr="00B40B7E">
        <w:rPr>
          <w:b/>
        </w:rPr>
        <w:t xml:space="preserve">, </w:t>
      </w:r>
      <w:r w:rsidR="00D16583" w:rsidRPr="00B40B7E">
        <w:rPr>
          <w:b/>
        </w:rPr>
        <w:t>812 N.W.2d 867 (Minn. App. Mar.</w:t>
      </w:r>
      <w:r w:rsidRPr="00B40B7E">
        <w:rPr>
          <w:b/>
        </w:rPr>
        <w:t xml:space="preserve"> 26, 2012) (A11-1329).</w:t>
      </w:r>
    </w:p>
    <w:p w:rsidR="00A6742C" w:rsidRDefault="00A6742C" w:rsidP="00A6742C">
      <w:pPr>
        <w:pStyle w:val="Default"/>
        <w:jc w:val="both"/>
        <w:rPr>
          <w:sz w:val="26"/>
          <w:szCs w:val="26"/>
        </w:rPr>
      </w:pPr>
      <w:r>
        <w:rPr>
          <w:sz w:val="26"/>
          <w:szCs w:val="26"/>
        </w:rPr>
        <w:tab/>
        <w:t>1.</w:t>
      </w:r>
      <w:r>
        <w:rPr>
          <w:sz w:val="26"/>
          <w:szCs w:val="26"/>
        </w:rPr>
        <w:tab/>
        <w:t xml:space="preserve">To determine whether a state tort-law claim is preempted by the Federal Railroad Safety Act, courts may consider documents showing that safety enhancements at a railway crossing were paid for with federal funds, notwithstanding the provision of 23 U.S.C. § 409 (2006) that documents compiled or collected to identify, evaluate, or plan safety enhancement of railway crossings is not subject to discovery or admissible as evidence. </w:t>
      </w:r>
    </w:p>
    <w:p w:rsidR="00A6742C" w:rsidRDefault="00A6742C" w:rsidP="00A6742C">
      <w:pPr>
        <w:pStyle w:val="Default"/>
        <w:jc w:val="both"/>
      </w:pPr>
      <w:r>
        <w:rPr>
          <w:sz w:val="26"/>
          <w:szCs w:val="26"/>
        </w:rPr>
        <w:tab/>
        <w:t>2.</w:t>
      </w:r>
      <w:r>
        <w:rPr>
          <w:sz w:val="26"/>
          <w:szCs w:val="26"/>
        </w:rPr>
        <w:tab/>
        <w:t>A vehicle is not a specific, individual hazard that imposes a duty to slow or stop a train unless the vehicle is stopped on the tracks.</w:t>
      </w:r>
    </w:p>
    <w:p w:rsidR="00A6742C" w:rsidRDefault="00A6742C" w:rsidP="00A6742C">
      <w:pPr>
        <w:spacing w:before="60"/>
        <w:rPr>
          <w:i/>
        </w:rPr>
      </w:pPr>
    </w:p>
    <w:p w:rsidR="00A6742C" w:rsidRPr="00B40B7E" w:rsidRDefault="00A6742C" w:rsidP="00A6742C">
      <w:pPr>
        <w:spacing w:before="60"/>
        <w:rPr>
          <w:b/>
          <w:i/>
        </w:rPr>
      </w:pPr>
      <w:r w:rsidRPr="00B40B7E">
        <w:rPr>
          <w:b/>
          <w:i/>
        </w:rPr>
        <w:t>Renswick v. Wenzel</w:t>
      </w:r>
      <w:r w:rsidRPr="00B40B7E">
        <w:rPr>
          <w:b/>
        </w:rPr>
        <w:t xml:space="preserve">, 819 N.W.2d 198 (Minn. App. July 30, 2012), </w:t>
      </w:r>
      <w:r w:rsidRPr="00B40B7E">
        <w:rPr>
          <w:b/>
          <w:i/>
        </w:rPr>
        <w:t>review denied</w:t>
      </w:r>
      <w:r w:rsidRPr="00B40B7E">
        <w:rPr>
          <w:b/>
        </w:rPr>
        <w:t xml:space="preserve"> (Minn. Oct. 16, 2012) (A11-1719).</w:t>
      </w:r>
    </w:p>
    <w:p w:rsidR="00A6742C" w:rsidRDefault="00A6742C" w:rsidP="00A6742C">
      <w:pPr>
        <w:pStyle w:val="ListParagraph"/>
        <w:numPr>
          <w:ilvl w:val="0"/>
          <w:numId w:val="20"/>
        </w:numPr>
        <w:spacing w:line="240" w:lineRule="auto"/>
        <w:ind w:left="0" w:firstLine="720"/>
        <w:jc w:val="both"/>
      </w:pPr>
      <w:r>
        <w:t>An invitee’s entering a house that has an unlit entryway and stairway in close proximity to each other is not an act to which the doctrine of primary assumption of the risk applies to exempt the homeowner from liability for negligent failure to warn about the potentially dangerous condition.</w:t>
      </w:r>
    </w:p>
    <w:p w:rsidR="00A6742C" w:rsidRPr="004C1E86" w:rsidRDefault="00A6742C" w:rsidP="00A6742C">
      <w:pPr>
        <w:autoSpaceDE w:val="0"/>
        <w:autoSpaceDN w:val="0"/>
        <w:adjustRightInd w:val="0"/>
        <w:rPr>
          <w:szCs w:val="26"/>
        </w:rPr>
      </w:pPr>
      <w:r>
        <w:lastRenderedPageBreak/>
        <w:tab/>
        <w:t>2.</w:t>
      </w:r>
      <w:r>
        <w:tab/>
        <w:t>An injured tort plaintiff’s Medicare benefits in the form of payments for medical care or Medicare-negotiated discounts to reduce her medical bill are collateral sources that are excepted from the collateral-source offset provision</w:t>
      </w:r>
      <w:r w:rsidRPr="00F325A6">
        <w:t xml:space="preserve"> </w:t>
      </w:r>
      <w:r>
        <w:t>of Minnesota Statutes section 548.251, subdivision 1, and, as such, they do not provide a basis to reduce her damages award.</w:t>
      </w:r>
    </w:p>
    <w:p w:rsidR="00A6742C" w:rsidRDefault="00A6742C" w:rsidP="00A6742C">
      <w:pPr>
        <w:tabs>
          <w:tab w:val="left" w:pos="720"/>
          <w:tab w:val="left" w:pos="1440"/>
        </w:tabs>
      </w:pPr>
    </w:p>
    <w:p w:rsidR="00A6742C" w:rsidRPr="00B40B7E" w:rsidRDefault="00A6742C" w:rsidP="00A6742C">
      <w:pPr>
        <w:rPr>
          <w:b/>
        </w:rPr>
      </w:pPr>
      <w:r w:rsidRPr="00B40B7E">
        <w:rPr>
          <w:b/>
          <w:i/>
        </w:rPr>
        <w:t>Moore v. Hoff</w:t>
      </w:r>
      <w:r w:rsidRPr="00B40B7E">
        <w:rPr>
          <w:b/>
        </w:rPr>
        <w:t>, 821 N.W.2d 591 (Minn. App. Aug. 20, 2012) (A11-1923).</w:t>
      </w:r>
    </w:p>
    <w:p w:rsidR="00A6742C" w:rsidRDefault="00A6742C" w:rsidP="00A6742C">
      <w:pPr>
        <w:pStyle w:val="Heading1"/>
        <w:keepNext w:val="0"/>
        <w:rPr>
          <w:b w:val="0"/>
          <w:szCs w:val="26"/>
        </w:rPr>
      </w:pPr>
      <w:r>
        <w:rPr>
          <w:b w:val="0"/>
          <w:szCs w:val="26"/>
        </w:rPr>
        <w:tab/>
        <w:t>1.</w:t>
      </w:r>
      <w:r>
        <w:rPr>
          <w:b w:val="0"/>
          <w:szCs w:val="26"/>
        </w:rPr>
        <w:tab/>
        <w:t>A claim for tortious interference with a contract or prospective business advantage cannot be based on conveying true information to a third party.</w:t>
      </w:r>
    </w:p>
    <w:p w:rsidR="00A6742C" w:rsidRPr="002F2EA7" w:rsidRDefault="00A6742C" w:rsidP="00A6742C">
      <w:r>
        <w:tab/>
        <w:t xml:space="preserve">(See page </w:t>
      </w:r>
      <w:r w:rsidR="004F77A4">
        <w:t>4</w:t>
      </w:r>
      <w:bookmarkStart w:id="0" w:name="_GoBack"/>
      <w:bookmarkEnd w:id="0"/>
      <w:r>
        <w:t xml:space="preserve"> for second syllabus point for this case.)</w:t>
      </w:r>
    </w:p>
    <w:p w:rsidR="00A6742C" w:rsidRDefault="00A6742C" w:rsidP="00A6742C">
      <w:pPr>
        <w:suppressAutoHyphens w:val="0"/>
        <w:rPr>
          <w:b/>
          <w:u w:val="single"/>
        </w:rPr>
      </w:pPr>
    </w:p>
    <w:p w:rsidR="00A6742C" w:rsidRDefault="00A6742C" w:rsidP="00A6742C">
      <w:pPr>
        <w:suppressAutoHyphens w:val="0"/>
        <w:rPr>
          <w:b/>
          <w:u w:val="single"/>
        </w:rPr>
      </w:pPr>
    </w:p>
    <w:p w:rsidR="00A6742C" w:rsidRPr="008D3794" w:rsidRDefault="00A6742C" w:rsidP="00A6742C">
      <w:pPr>
        <w:pStyle w:val="FootnoteText"/>
        <w:tabs>
          <w:tab w:val="left" w:pos="720"/>
          <w:tab w:val="left" w:pos="1440"/>
          <w:tab w:val="left" w:pos="2160"/>
        </w:tabs>
        <w:rPr>
          <w:b/>
          <w:u w:val="single"/>
        </w:rPr>
      </w:pPr>
      <w:r>
        <w:rPr>
          <w:b/>
          <w:u w:val="single"/>
        </w:rPr>
        <w:t>Unemployment Benefits</w:t>
      </w:r>
    </w:p>
    <w:p w:rsidR="00A6742C" w:rsidRDefault="00A6742C" w:rsidP="00A6742C">
      <w:pPr>
        <w:pStyle w:val="FootnoteText"/>
        <w:tabs>
          <w:tab w:val="left" w:pos="720"/>
          <w:tab w:val="left" w:pos="1440"/>
          <w:tab w:val="left" w:pos="2160"/>
        </w:tabs>
      </w:pPr>
    </w:p>
    <w:p w:rsidR="00A6742C" w:rsidRPr="00B40B7E" w:rsidRDefault="00A6742C" w:rsidP="00A6742C">
      <w:pPr>
        <w:spacing w:before="60"/>
        <w:rPr>
          <w:b/>
          <w:i/>
        </w:rPr>
      </w:pPr>
      <w:r w:rsidRPr="00B40B7E">
        <w:rPr>
          <w:b/>
          <w:i/>
        </w:rPr>
        <w:t>Potter v. Northern Empire Pizza</w:t>
      </w:r>
      <w:r w:rsidRPr="00B40B7E">
        <w:rPr>
          <w:b/>
        </w:rPr>
        <w:t xml:space="preserve">, 805 N.W.2d 872 (Minn. App. Sept. 6, 2011), </w:t>
      </w:r>
      <w:r w:rsidRPr="00B40B7E">
        <w:rPr>
          <w:b/>
          <w:i/>
        </w:rPr>
        <w:t xml:space="preserve">review denied </w:t>
      </w:r>
      <w:r w:rsidRPr="00B40B7E">
        <w:rPr>
          <w:b/>
        </w:rPr>
        <w:t>(Minn. Nov. 15, 2011) (A10-1965).</w:t>
      </w:r>
    </w:p>
    <w:p w:rsidR="00A6742C" w:rsidRDefault="00A6742C" w:rsidP="00A6742C">
      <w:pPr>
        <w:pStyle w:val="FootnoteText"/>
        <w:tabs>
          <w:tab w:val="left" w:pos="720"/>
          <w:tab w:val="left" w:pos="1440"/>
          <w:tab w:val="left" w:pos="2160"/>
        </w:tabs>
      </w:pPr>
      <w:r>
        <w:tab/>
        <w:t>Because no single-incident exception to employment misconduct exists and employers may require employees to refrain from physical contact arising from workplace disputes, an employee’s single-incident poking of his coworker during an argument constitutes employment misconduct under Minnesota Statutes section 268.095, subdivision 6(a) (2010).</w:t>
      </w:r>
    </w:p>
    <w:p w:rsidR="00A6742C" w:rsidRDefault="00A6742C" w:rsidP="00A6742C">
      <w:pPr>
        <w:pStyle w:val="FootnoteText"/>
        <w:tabs>
          <w:tab w:val="left" w:pos="720"/>
          <w:tab w:val="left" w:pos="1440"/>
          <w:tab w:val="left" w:pos="2160"/>
        </w:tabs>
      </w:pPr>
    </w:p>
    <w:p w:rsidR="00A6742C" w:rsidRPr="00B40B7E" w:rsidRDefault="00A6742C" w:rsidP="00A6742C">
      <w:pPr>
        <w:spacing w:before="60"/>
        <w:rPr>
          <w:b/>
        </w:rPr>
      </w:pPr>
      <w:r w:rsidRPr="00B40B7E">
        <w:rPr>
          <w:b/>
          <w:i/>
        </w:rPr>
        <w:t>Peterson v. Northeast Bank</w:t>
      </w:r>
      <w:r w:rsidRPr="00B40B7E">
        <w:rPr>
          <w:b/>
        </w:rPr>
        <w:t>, 805 N.W.2d 878 (Minn. App. Oct. 11, 2011) (A11-0092).</w:t>
      </w:r>
    </w:p>
    <w:p w:rsidR="00A6742C" w:rsidRPr="000C40C3" w:rsidRDefault="00A6742C" w:rsidP="00A6742C">
      <w:pPr>
        <w:ind w:firstLine="720"/>
      </w:pPr>
      <w:r w:rsidRPr="000C40C3">
        <w:t>When a relator receives a settlement payment in an employment discrimination dispute that compensates relator for wages lost as a result of an allegedly wrongful discharge, the payment is for back pay under Minn.</w:t>
      </w:r>
      <w:r>
        <w:t xml:space="preserve"> </w:t>
      </w:r>
      <w:r w:rsidRPr="000C40C3">
        <w:t>Stat. § 268.035, subd. 3 (2010), and must be deducted from the benefits that relator has already received under Minn.</w:t>
      </w:r>
      <w:r>
        <w:t xml:space="preserve"> </w:t>
      </w:r>
      <w:r w:rsidRPr="000C40C3">
        <w:t>Stat. §</w:t>
      </w:r>
      <w:r>
        <w:t> </w:t>
      </w:r>
      <w:r w:rsidRPr="000C40C3">
        <w:t>268.085, subd. 6(a) (2010).</w:t>
      </w:r>
    </w:p>
    <w:p w:rsidR="00A6742C" w:rsidRDefault="00A6742C" w:rsidP="00A6742C">
      <w:pPr>
        <w:spacing w:before="60"/>
        <w:rPr>
          <w:i/>
        </w:rPr>
      </w:pPr>
    </w:p>
    <w:p w:rsidR="00A6742C" w:rsidRPr="00B40B7E" w:rsidRDefault="00A6742C" w:rsidP="00A6742C">
      <w:pPr>
        <w:rPr>
          <w:b/>
        </w:rPr>
      </w:pPr>
      <w:r w:rsidRPr="00B40B7E">
        <w:rPr>
          <w:b/>
          <w:i/>
        </w:rPr>
        <w:t>Cunningham v. Wal-Mart Assocs., Inc.</w:t>
      </w:r>
      <w:r w:rsidRPr="00B40B7E">
        <w:rPr>
          <w:b/>
        </w:rPr>
        <w:t>, 809 N.W.2d 231 (Minn. App. Dec. 27, 2011) (A11-0153).</w:t>
      </w:r>
    </w:p>
    <w:p w:rsidR="00A6742C" w:rsidRDefault="00A6742C" w:rsidP="00A6742C">
      <w:pPr>
        <w:autoSpaceDE w:val="0"/>
        <w:autoSpaceDN w:val="0"/>
        <w:adjustRightInd w:val="0"/>
        <w:rPr>
          <w:szCs w:val="26"/>
        </w:rPr>
      </w:pPr>
      <w:r>
        <w:rPr>
          <w:szCs w:val="26"/>
        </w:rPr>
        <w:tab/>
      </w:r>
      <w:r w:rsidRPr="00EA1B9C">
        <w:rPr>
          <w:szCs w:val="26"/>
        </w:rPr>
        <w:t>When an employer discharges an employee for conduct that is indisputably caused</w:t>
      </w:r>
      <w:r>
        <w:rPr>
          <w:szCs w:val="26"/>
        </w:rPr>
        <w:t xml:space="preserve"> </w:t>
      </w:r>
      <w:r w:rsidRPr="00EA1B9C">
        <w:rPr>
          <w:szCs w:val="26"/>
        </w:rPr>
        <w:t>by the employee’s inability to concentrate and multitask as a result of strokes that he</w:t>
      </w:r>
      <w:r>
        <w:rPr>
          <w:szCs w:val="26"/>
        </w:rPr>
        <w:t xml:space="preserve"> </w:t>
      </w:r>
      <w:r w:rsidRPr="00EA1B9C">
        <w:rPr>
          <w:szCs w:val="26"/>
        </w:rPr>
        <w:t>suffered, the conduct is a “consequence of” a mental illness or impairment pursuant to</w:t>
      </w:r>
      <w:r>
        <w:rPr>
          <w:szCs w:val="26"/>
        </w:rPr>
        <w:t xml:space="preserve"> </w:t>
      </w:r>
      <w:r w:rsidRPr="00EA1B9C">
        <w:rPr>
          <w:szCs w:val="26"/>
        </w:rPr>
        <w:t>Minn. Stat. § 268.095, subd. 6(b)(1) (2010), and the employee is eligible for</w:t>
      </w:r>
      <w:r>
        <w:rPr>
          <w:szCs w:val="26"/>
        </w:rPr>
        <w:t xml:space="preserve"> </w:t>
      </w:r>
      <w:r w:rsidRPr="00EA1B9C">
        <w:rPr>
          <w:szCs w:val="26"/>
        </w:rPr>
        <w:t>unemployment benefits.</w:t>
      </w:r>
    </w:p>
    <w:p w:rsidR="00A6742C" w:rsidRDefault="00A6742C" w:rsidP="00A6742C">
      <w:pPr>
        <w:autoSpaceDE w:val="0"/>
        <w:autoSpaceDN w:val="0"/>
        <w:adjustRightInd w:val="0"/>
        <w:rPr>
          <w:szCs w:val="26"/>
        </w:rPr>
      </w:pPr>
    </w:p>
    <w:p w:rsidR="00A6742C" w:rsidRPr="00B40B7E" w:rsidRDefault="00A6742C" w:rsidP="00A6742C">
      <w:pPr>
        <w:widowControl w:val="0"/>
        <w:rPr>
          <w:b/>
        </w:rPr>
      </w:pPr>
      <w:r w:rsidRPr="00B40B7E">
        <w:rPr>
          <w:b/>
          <w:i/>
        </w:rPr>
        <w:t xml:space="preserve">Hasledalen v. </w:t>
      </w:r>
      <w:r w:rsidR="00402B68" w:rsidRPr="00B40B7E">
        <w:rPr>
          <w:b/>
          <w:i/>
          <w:szCs w:val="26"/>
        </w:rPr>
        <w:t>Department</w:t>
      </w:r>
      <w:r w:rsidRPr="00B40B7E">
        <w:rPr>
          <w:b/>
          <w:i/>
          <w:szCs w:val="26"/>
        </w:rPr>
        <w:t xml:space="preserve"> of Emp’t </w:t>
      </w:r>
      <w:r w:rsidR="00402B68" w:rsidRPr="00B40B7E">
        <w:rPr>
          <w:b/>
          <w:i/>
          <w:szCs w:val="26"/>
        </w:rPr>
        <w:t>&amp;</w:t>
      </w:r>
      <w:r w:rsidRPr="00B40B7E">
        <w:rPr>
          <w:b/>
          <w:i/>
          <w:szCs w:val="26"/>
        </w:rPr>
        <w:t xml:space="preserve"> Econ. Dev.</w:t>
      </w:r>
      <w:r w:rsidRPr="00B40B7E">
        <w:rPr>
          <w:b/>
        </w:rPr>
        <w:t>, 811 N.W.2d 133 (Minn. App. Jan. 23, 2012) (A11-1013).</w:t>
      </w:r>
    </w:p>
    <w:p w:rsidR="00A6742C" w:rsidRPr="008B5E2D" w:rsidRDefault="00A6742C" w:rsidP="00A6742C">
      <w:pPr>
        <w:rPr>
          <w:szCs w:val="26"/>
        </w:rPr>
      </w:pPr>
      <w:r>
        <w:rPr>
          <w:szCs w:val="26"/>
        </w:rPr>
        <w:tab/>
      </w:r>
      <w:r w:rsidRPr="008B5E2D">
        <w:rPr>
          <w:szCs w:val="26"/>
        </w:rPr>
        <w:t xml:space="preserve">When a person applies for and receives unemployment benefits and subsequently applies for and receives Social Security old age benefits, the unemployment benefits must </w:t>
      </w:r>
      <w:r w:rsidRPr="008B5E2D">
        <w:rPr>
          <w:szCs w:val="26"/>
        </w:rPr>
        <w:lastRenderedPageBreak/>
        <w:t>be reduced by an amount equal to 50% of the Social Security benefit calculated on a weekly basis.</w:t>
      </w:r>
    </w:p>
    <w:p w:rsidR="00A6742C" w:rsidRDefault="00A6742C" w:rsidP="00A6742C">
      <w:pPr>
        <w:spacing w:before="60"/>
        <w:rPr>
          <w:i/>
        </w:rPr>
      </w:pPr>
    </w:p>
    <w:p w:rsidR="00A6742C" w:rsidRPr="00B40B7E" w:rsidRDefault="00A6742C" w:rsidP="00A6742C">
      <w:pPr>
        <w:spacing w:before="60"/>
        <w:rPr>
          <w:b/>
          <w:i/>
        </w:rPr>
      </w:pPr>
      <w:r w:rsidRPr="00B40B7E">
        <w:rPr>
          <w:b/>
          <w:i/>
        </w:rPr>
        <w:t>Stassen v. Lone Mountain Truck Leasing, LLC</w:t>
      </w:r>
      <w:r w:rsidRPr="00B40B7E">
        <w:rPr>
          <w:b/>
        </w:rPr>
        <w:t>,</w:t>
      </w:r>
      <w:r w:rsidRPr="00B40B7E">
        <w:rPr>
          <w:b/>
          <w:i/>
        </w:rPr>
        <w:t xml:space="preserve"> </w:t>
      </w:r>
      <w:r w:rsidRPr="00B40B7E">
        <w:rPr>
          <w:b/>
        </w:rPr>
        <w:t>814 N.W.2d 25 (Minn. App. March 5, 2012) (A11-0954).</w:t>
      </w:r>
    </w:p>
    <w:p w:rsidR="00A6742C" w:rsidRDefault="00A6742C" w:rsidP="00A6742C">
      <w:pPr>
        <w:pStyle w:val="FootnoteText"/>
        <w:tabs>
          <w:tab w:val="left" w:pos="720"/>
          <w:tab w:val="left" w:pos="1440"/>
          <w:tab w:val="left" w:pos="2160"/>
        </w:tabs>
      </w:pPr>
      <w:r>
        <w:tab/>
        <w:t xml:space="preserve">If an employer uses the Minnesota Department of Employment and Economic Development’s website to inform the department that its address has changed and the department later sends a notice of eligibility for unemployment benefits to the employer using a different address, the mailing does not trigger the twenty-day period for the employer to appeal the eligibility determination </w:t>
      </w:r>
      <w:r w:rsidRPr="008D75A6">
        <w:t>under</w:t>
      </w:r>
      <w:r>
        <w:t xml:space="preserve"> </w:t>
      </w:r>
      <w:r w:rsidRPr="008D75A6">
        <w:t>Minnesota Statutes section 268.101, subdivision 2(f)</w:t>
      </w:r>
      <w:r>
        <w:t>.</w:t>
      </w:r>
    </w:p>
    <w:p w:rsidR="00A6742C" w:rsidRDefault="00A6742C" w:rsidP="00A6742C">
      <w:pPr>
        <w:autoSpaceDE w:val="0"/>
        <w:autoSpaceDN w:val="0"/>
        <w:adjustRightInd w:val="0"/>
        <w:rPr>
          <w:szCs w:val="26"/>
        </w:rPr>
      </w:pPr>
    </w:p>
    <w:p w:rsidR="00A6742C" w:rsidRPr="00B40B7E" w:rsidRDefault="00A6742C" w:rsidP="00A6742C">
      <w:pPr>
        <w:widowControl w:val="0"/>
        <w:rPr>
          <w:b/>
        </w:rPr>
      </w:pPr>
      <w:r w:rsidRPr="00B40B7E">
        <w:rPr>
          <w:b/>
          <w:i/>
        </w:rPr>
        <w:t>Rowan v. Dream It, Inc.</w:t>
      </w:r>
      <w:r w:rsidRPr="00B40B7E">
        <w:rPr>
          <w:b/>
        </w:rPr>
        <w:t>, 812 N.W.2d 879 (Minn. App. Apr. 2, 2012) (A11-1135).</w:t>
      </w:r>
    </w:p>
    <w:p w:rsidR="00A6742C" w:rsidRDefault="00A6742C" w:rsidP="00A6742C">
      <w:pPr>
        <w:pStyle w:val="Default"/>
        <w:jc w:val="both"/>
        <w:rPr>
          <w:color w:val="auto"/>
          <w:sz w:val="26"/>
          <w:szCs w:val="26"/>
        </w:rPr>
      </w:pPr>
      <w:r>
        <w:rPr>
          <w:sz w:val="26"/>
          <w:szCs w:val="26"/>
        </w:rPr>
        <w:tab/>
        <w:t xml:space="preserve">When an employer in the construction industry encourages its employee to resign her employment and form a limited liability corporation (LLC), but does not inform the employee that she will no longer be eligible for unemployment benefits once she does so, </w:t>
      </w:r>
      <w:r>
        <w:rPr>
          <w:color w:val="auto"/>
          <w:sz w:val="26"/>
          <w:szCs w:val="26"/>
        </w:rPr>
        <w:t xml:space="preserve">the employer’s failure to so disclose constitutes good reason to quit caused by the employer under Minn. Stat. § 268.095, subd. 3(a) (2010). </w:t>
      </w:r>
    </w:p>
    <w:p w:rsidR="00A6742C" w:rsidRDefault="00A6742C" w:rsidP="00A6742C">
      <w:pPr>
        <w:spacing w:before="60"/>
        <w:rPr>
          <w:i/>
        </w:rPr>
      </w:pPr>
    </w:p>
    <w:p w:rsidR="00A6742C" w:rsidRPr="00B40B7E" w:rsidRDefault="00A6742C" w:rsidP="00A6742C">
      <w:pPr>
        <w:rPr>
          <w:b/>
          <w:szCs w:val="26"/>
        </w:rPr>
      </w:pPr>
      <w:r w:rsidRPr="00B40B7E">
        <w:rPr>
          <w:b/>
          <w:i/>
          <w:szCs w:val="26"/>
        </w:rPr>
        <w:t>Buil</w:t>
      </w:r>
      <w:r w:rsidR="00402B68" w:rsidRPr="00B40B7E">
        <w:rPr>
          <w:b/>
          <w:i/>
          <w:szCs w:val="26"/>
        </w:rPr>
        <w:t>ders Commonwealth, Inc. v. Department</w:t>
      </w:r>
      <w:r w:rsidRPr="00B40B7E">
        <w:rPr>
          <w:b/>
          <w:i/>
          <w:szCs w:val="26"/>
        </w:rPr>
        <w:t xml:space="preserve"> of Emp’t </w:t>
      </w:r>
      <w:r w:rsidR="00402B68" w:rsidRPr="00B40B7E">
        <w:rPr>
          <w:b/>
          <w:i/>
          <w:szCs w:val="26"/>
        </w:rPr>
        <w:t>&amp;</w:t>
      </w:r>
      <w:r w:rsidRPr="00B40B7E">
        <w:rPr>
          <w:b/>
          <w:i/>
          <w:szCs w:val="26"/>
        </w:rPr>
        <w:t xml:space="preserve"> Econ. Dev.</w:t>
      </w:r>
      <w:r w:rsidRPr="00B40B7E">
        <w:rPr>
          <w:b/>
          <w:szCs w:val="26"/>
        </w:rPr>
        <w:t>, 814 N.W.2d 49 (Minn. App. May 7, 2012) (A11-1307).</w:t>
      </w:r>
    </w:p>
    <w:p w:rsidR="00A6742C" w:rsidRDefault="00A6742C" w:rsidP="00A6742C">
      <w:pPr>
        <w:rPr>
          <w:color w:val="252525"/>
          <w:szCs w:val="26"/>
        </w:rPr>
      </w:pPr>
      <w:r w:rsidRPr="00D61257">
        <w:rPr>
          <w:szCs w:val="26"/>
        </w:rPr>
        <w:tab/>
      </w:r>
      <w:r w:rsidRPr="00D61257">
        <w:rPr>
          <w:color w:val="252525"/>
          <w:szCs w:val="26"/>
        </w:rPr>
        <w:t>Under Minnesota unemployment-insurance law, an employment relationship may exist between a worker cooperative and its members, obligating the cooperative to pay unemployment-insurance taxes.</w:t>
      </w:r>
    </w:p>
    <w:p w:rsidR="00A6742C" w:rsidRDefault="00A6742C" w:rsidP="00A6742C">
      <w:pPr>
        <w:rPr>
          <w:color w:val="252525"/>
          <w:szCs w:val="26"/>
        </w:rPr>
      </w:pPr>
    </w:p>
    <w:p w:rsidR="00A6742C" w:rsidRPr="00B40B7E" w:rsidRDefault="00A6742C" w:rsidP="00A6742C">
      <w:pPr>
        <w:spacing w:before="60"/>
        <w:rPr>
          <w:b/>
          <w:i/>
        </w:rPr>
      </w:pPr>
      <w:r w:rsidRPr="00B40B7E">
        <w:rPr>
          <w:b/>
          <w:i/>
        </w:rPr>
        <w:t>Kangas v. Industrial Welders &amp; Machinists, Inc.</w:t>
      </w:r>
      <w:r w:rsidRPr="00B40B7E">
        <w:rPr>
          <w:b/>
        </w:rPr>
        <w:t>, 814 N.W.2d 97 (Minn. App. May 21, 2012) (A11-1207).</w:t>
      </w:r>
    </w:p>
    <w:p w:rsidR="00A6742C" w:rsidRDefault="00A6742C" w:rsidP="00A6742C">
      <w:pPr>
        <w:autoSpaceDE w:val="0"/>
        <w:autoSpaceDN w:val="0"/>
        <w:adjustRightInd w:val="0"/>
        <w:rPr>
          <w:b/>
          <w:sz w:val="28"/>
          <w:szCs w:val="28"/>
        </w:rPr>
      </w:pPr>
      <w:r>
        <w:tab/>
        <w:t xml:space="preserve">An electronically transmitted administrative appeal from a determination by the Minnesota Department of Employment and Economic Development is </w:t>
      </w:r>
      <w:r w:rsidRPr="007B56C9">
        <w:t>“[a] written statement delivered”</w:t>
      </w:r>
      <w:r>
        <w:t xml:space="preserve"> to the department under Minnesota Statutes section 268.103, subdivision 2(b), which perfects the appeal if the transmission occurs within the statutory appeal deadline.</w:t>
      </w:r>
    </w:p>
    <w:p w:rsidR="00E65D4C" w:rsidRDefault="00E65D4C" w:rsidP="004263F8">
      <w:pPr>
        <w:suppressAutoHyphens w:val="0"/>
        <w:jc w:val="center"/>
        <w:rPr>
          <w:b/>
          <w:sz w:val="28"/>
          <w:szCs w:val="28"/>
        </w:rPr>
      </w:pPr>
    </w:p>
    <w:p w:rsidR="00E65D4C" w:rsidRDefault="00E65D4C" w:rsidP="004263F8">
      <w:pPr>
        <w:suppressAutoHyphens w:val="0"/>
        <w:jc w:val="center"/>
        <w:rPr>
          <w:b/>
          <w:sz w:val="28"/>
          <w:szCs w:val="28"/>
        </w:rPr>
      </w:pPr>
    </w:p>
    <w:p w:rsidR="00D532CF" w:rsidRDefault="00D532CF" w:rsidP="004263F8">
      <w:pPr>
        <w:suppressAutoHyphens w:val="0"/>
        <w:jc w:val="center"/>
        <w:rPr>
          <w:b/>
          <w:sz w:val="28"/>
          <w:szCs w:val="28"/>
        </w:rPr>
      </w:pPr>
    </w:p>
    <w:p w:rsidR="00D532CF" w:rsidRDefault="00D532CF" w:rsidP="004263F8">
      <w:pPr>
        <w:suppressAutoHyphens w:val="0"/>
        <w:jc w:val="center"/>
        <w:rPr>
          <w:b/>
          <w:sz w:val="28"/>
          <w:szCs w:val="28"/>
        </w:rPr>
      </w:pPr>
    </w:p>
    <w:p w:rsidR="00D532CF" w:rsidRDefault="00D532CF" w:rsidP="004263F8">
      <w:pPr>
        <w:suppressAutoHyphens w:val="0"/>
        <w:jc w:val="center"/>
        <w:rPr>
          <w:b/>
          <w:sz w:val="28"/>
          <w:szCs w:val="28"/>
        </w:rPr>
      </w:pPr>
    </w:p>
    <w:p w:rsidR="00D532CF" w:rsidRDefault="00D532CF" w:rsidP="004263F8">
      <w:pPr>
        <w:suppressAutoHyphens w:val="0"/>
        <w:jc w:val="center"/>
        <w:rPr>
          <w:b/>
          <w:sz w:val="28"/>
          <w:szCs w:val="28"/>
        </w:rPr>
      </w:pPr>
    </w:p>
    <w:p w:rsidR="00D532CF" w:rsidRDefault="00D532CF" w:rsidP="004263F8">
      <w:pPr>
        <w:suppressAutoHyphens w:val="0"/>
        <w:jc w:val="center"/>
        <w:rPr>
          <w:b/>
          <w:sz w:val="28"/>
          <w:szCs w:val="28"/>
        </w:rPr>
      </w:pPr>
    </w:p>
    <w:p w:rsidR="008B6634" w:rsidRDefault="008B6634" w:rsidP="004263F8">
      <w:pPr>
        <w:suppressAutoHyphens w:val="0"/>
        <w:jc w:val="center"/>
        <w:rPr>
          <w:b/>
          <w:sz w:val="28"/>
          <w:szCs w:val="28"/>
        </w:rPr>
      </w:pPr>
    </w:p>
    <w:p w:rsidR="004263F8" w:rsidRPr="00E0265D" w:rsidRDefault="004263F8" w:rsidP="004263F8">
      <w:pPr>
        <w:suppressAutoHyphens w:val="0"/>
        <w:jc w:val="center"/>
        <w:rPr>
          <w:b/>
          <w:sz w:val="28"/>
          <w:szCs w:val="28"/>
        </w:rPr>
      </w:pPr>
      <w:r w:rsidRPr="00E0265D">
        <w:rPr>
          <w:b/>
          <w:sz w:val="28"/>
          <w:szCs w:val="28"/>
        </w:rPr>
        <w:lastRenderedPageBreak/>
        <w:t>PART II – CRIMINAL CASES AND CASES ON RELATED SUBJECTS</w:t>
      </w:r>
    </w:p>
    <w:p w:rsidR="003A2140" w:rsidRDefault="003A2140" w:rsidP="004263F8">
      <w:pPr>
        <w:suppressAutoHyphens w:val="0"/>
        <w:rPr>
          <w:b/>
        </w:rPr>
      </w:pPr>
    </w:p>
    <w:p w:rsidR="001E4987" w:rsidRDefault="001E4987" w:rsidP="004263F8">
      <w:pPr>
        <w:suppressAutoHyphens w:val="0"/>
        <w:rPr>
          <w:b/>
        </w:rPr>
      </w:pPr>
    </w:p>
    <w:p w:rsidR="004263F8" w:rsidRDefault="004263F8" w:rsidP="004263F8">
      <w:pPr>
        <w:rPr>
          <w:b/>
          <w:szCs w:val="26"/>
          <w:u w:val="single"/>
        </w:rPr>
      </w:pPr>
      <w:r>
        <w:rPr>
          <w:b/>
          <w:szCs w:val="26"/>
          <w:u w:val="single"/>
        </w:rPr>
        <w:t>Constitutional Law</w:t>
      </w:r>
    </w:p>
    <w:p w:rsidR="004626C2" w:rsidRDefault="004626C2" w:rsidP="004263F8">
      <w:pPr>
        <w:rPr>
          <w:szCs w:val="26"/>
        </w:rPr>
      </w:pPr>
    </w:p>
    <w:p w:rsidR="008A7871" w:rsidRPr="00B40B7E" w:rsidRDefault="008A7871" w:rsidP="008A7871">
      <w:pPr>
        <w:rPr>
          <w:b/>
        </w:rPr>
      </w:pPr>
      <w:r w:rsidRPr="00B40B7E">
        <w:rPr>
          <w:b/>
          <w:i/>
        </w:rPr>
        <w:t>State v. Johnson</w:t>
      </w:r>
      <w:r w:rsidRPr="00B40B7E">
        <w:rPr>
          <w:b/>
        </w:rPr>
        <w:t xml:space="preserve">, </w:t>
      </w:r>
      <w:r w:rsidR="00E45E86" w:rsidRPr="00B40B7E">
        <w:rPr>
          <w:b/>
        </w:rPr>
        <w:t>811</w:t>
      </w:r>
      <w:r w:rsidRPr="00B40B7E">
        <w:rPr>
          <w:b/>
        </w:rPr>
        <w:t xml:space="preserve"> N.W.2d </w:t>
      </w:r>
      <w:r w:rsidR="00E45E86" w:rsidRPr="00B40B7E">
        <w:rPr>
          <w:b/>
        </w:rPr>
        <w:t>136</w:t>
      </w:r>
      <w:r w:rsidRPr="00B40B7E">
        <w:rPr>
          <w:b/>
        </w:rPr>
        <w:t xml:space="preserve"> (Minn. App. Jan. 30, 2012), </w:t>
      </w:r>
      <w:r w:rsidRPr="00B40B7E">
        <w:rPr>
          <w:b/>
          <w:i/>
        </w:rPr>
        <w:t>review denied</w:t>
      </w:r>
      <w:r w:rsidRPr="00B40B7E">
        <w:rPr>
          <w:b/>
        </w:rPr>
        <w:t xml:space="preserve"> (Minn. Mar. 28, 2012) (A11-</w:t>
      </w:r>
      <w:r w:rsidR="00F123F0" w:rsidRPr="00B40B7E">
        <w:rPr>
          <w:b/>
        </w:rPr>
        <w:t>000</w:t>
      </w:r>
      <w:r w:rsidRPr="00B40B7E">
        <w:rPr>
          <w:b/>
        </w:rPr>
        <w:t>6).</w:t>
      </w:r>
    </w:p>
    <w:p w:rsidR="008A7871" w:rsidRDefault="008A7871" w:rsidP="008A7871">
      <w:pPr>
        <w:pStyle w:val="Heading1"/>
        <w:keepNext w:val="0"/>
        <w:ind w:firstLine="720"/>
        <w:rPr>
          <w:b w:val="0"/>
          <w:szCs w:val="26"/>
        </w:rPr>
      </w:pPr>
      <w:r>
        <w:rPr>
          <w:b w:val="0"/>
          <w:szCs w:val="26"/>
        </w:rPr>
        <w:t xml:space="preserve">The Fifth Amendment does not prohibit the state, during its case-in-chief, from presenting evidence of a </w:t>
      </w:r>
      <w:r w:rsidRPr="00E171FA">
        <w:rPr>
          <w:b w:val="0"/>
          <w:szCs w:val="26"/>
        </w:rPr>
        <w:t>defendant’s post-arrest, pre-</w:t>
      </w:r>
      <w:r w:rsidRPr="00E171FA">
        <w:rPr>
          <w:b w:val="0"/>
          <w:i/>
          <w:szCs w:val="26"/>
        </w:rPr>
        <w:t>Miranda</w:t>
      </w:r>
      <w:r w:rsidRPr="00E171FA">
        <w:rPr>
          <w:b w:val="0"/>
          <w:szCs w:val="26"/>
        </w:rPr>
        <w:t xml:space="preserve"> silence </w:t>
      </w:r>
      <w:r>
        <w:rPr>
          <w:b w:val="0"/>
          <w:szCs w:val="26"/>
        </w:rPr>
        <w:t xml:space="preserve">when the state did not compel the defendant to speak or remain silent. </w:t>
      </w:r>
    </w:p>
    <w:p w:rsidR="00F22BAA" w:rsidRDefault="00F22BAA" w:rsidP="00F22BAA"/>
    <w:p w:rsidR="00670AE0" w:rsidRPr="00B40B7E" w:rsidRDefault="00670AE0" w:rsidP="00670AE0">
      <w:pPr>
        <w:rPr>
          <w:b/>
        </w:rPr>
      </w:pPr>
      <w:r w:rsidRPr="00B40B7E">
        <w:rPr>
          <w:b/>
          <w:i/>
        </w:rPr>
        <w:t>Mitchell v. Smith</w:t>
      </w:r>
      <w:r w:rsidRPr="00B40B7E">
        <w:rPr>
          <w:b/>
        </w:rPr>
        <w:t>, 817 N.W.2d 742 (Minn. App. July 30, 2012) (A12-0077).</w:t>
      </w:r>
    </w:p>
    <w:p w:rsidR="00670AE0" w:rsidRDefault="00670AE0" w:rsidP="00670AE0">
      <w:pPr>
        <w:pStyle w:val="Heading1"/>
        <w:keepNext w:val="0"/>
        <w:ind w:firstLine="720"/>
        <w:rPr>
          <w:b w:val="0"/>
          <w:szCs w:val="26"/>
        </w:rPr>
      </w:pPr>
      <w:r w:rsidRPr="00AA6BB9">
        <w:rPr>
          <w:b w:val="0"/>
          <w:szCs w:val="26"/>
        </w:rPr>
        <w:t>A prison regulation that restricts an incarcerated inmate from visiting with the inmate’s minor child when the inmate has been convicted of sex offenses involving minors and has refused to participate in sex-offender treatment does not abridge the inmate’s substantive-due-process right to direct the care, custody, and control of the inmate’s child.</w:t>
      </w:r>
      <w:r>
        <w:rPr>
          <w:b w:val="0"/>
          <w:szCs w:val="26"/>
        </w:rPr>
        <w:t xml:space="preserve"> </w:t>
      </w:r>
    </w:p>
    <w:p w:rsidR="00EE31FD" w:rsidRDefault="00EE31FD" w:rsidP="008F67CC">
      <w:pPr>
        <w:rPr>
          <w:i/>
        </w:rPr>
      </w:pPr>
    </w:p>
    <w:p w:rsidR="000624C4" w:rsidRPr="00B40B7E" w:rsidRDefault="000624C4" w:rsidP="000624C4">
      <w:pPr>
        <w:tabs>
          <w:tab w:val="left" w:pos="4680"/>
          <w:tab w:val="left" w:pos="6660"/>
          <w:tab w:val="left" w:pos="8280"/>
        </w:tabs>
        <w:rPr>
          <w:b/>
        </w:rPr>
      </w:pPr>
      <w:r w:rsidRPr="00B40B7E">
        <w:rPr>
          <w:b/>
          <w:i/>
        </w:rPr>
        <w:t>State v. Montermini</w:t>
      </w:r>
      <w:r w:rsidRPr="00B40B7E">
        <w:rPr>
          <w:b/>
        </w:rPr>
        <w:t xml:space="preserve">, 819 N.W.2d 447 (Minn. App. Aug. 13, 2012), </w:t>
      </w:r>
      <w:r w:rsidRPr="00B40B7E">
        <w:rPr>
          <w:b/>
          <w:i/>
        </w:rPr>
        <w:t xml:space="preserve">review </w:t>
      </w:r>
      <w:r w:rsidR="00406505" w:rsidRPr="00B40B7E">
        <w:rPr>
          <w:b/>
          <w:i/>
        </w:rPr>
        <w:t xml:space="preserve">denied </w:t>
      </w:r>
      <w:r w:rsidRPr="00B40B7E">
        <w:rPr>
          <w:b/>
        </w:rPr>
        <w:t xml:space="preserve">(Minn. </w:t>
      </w:r>
      <w:r w:rsidR="00406505" w:rsidRPr="00B40B7E">
        <w:rPr>
          <w:b/>
        </w:rPr>
        <w:t>Nov</w:t>
      </w:r>
      <w:r w:rsidRPr="00B40B7E">
        <w:rPr>
          <w:b/>
        </w:rPr>
        <w:t>. 2</w:t>
      </w:r>
      <w:r w:rsidR="00406505" w:rsidRPr="00B40B7E">
        <w:rPr>
          <w:b/>
        </w:rPr>
        <w:t>0</w:t>
      </w:r>
      <w:r w:rsidRPr="00B40B7E">
        <w:rPr>
          <w:b/>
        </w:rPr>
        <w:t>, 2012) (A11-1543).</w:t>
      </w:r>
    </w:p>
    <w:p w:rsidR="000624C4" w:rsidRPr="002A68BD" w:rsidRDefault="000624C4" w:rsidP="000624C4">
      <w:pPr>
        <w:pStyle w:val="Heading1"/>
        <w:keepNext w:val="0"/>
        <w:ind w:firstLine="720"/>
        <w:rPr>
          <w:b w:val="0"/>
          <w:szCs w:val="26"/>
        </w:rPr>
      </w:pPr>
      <w:r>
        <w:rPr>
          <w:b w:val="0"/>
          <w:szCs w:val="26"/>
        </w:rPr>
        <w:t>A criminal defendant who pleads guilty to multiple offenses under a plea agreement in which the defendant acknowledges that the agreement will be rescinded if the plea is withdrawn on appeal and the defendant may be reprosecuted as if there had been no plea of guilty and no plea agreement, waives the constitutional protection against double jeopardy as to all charged offenses by successfully appealing one or more of the guilty pleas.</w:t>
      </w:r>
    </w:p>
    <w:p w:rsidR="000624C4" w:rsidRDefault="000624C4" w:rsidP="000624C4">
      <w:pPr>
        <w:tabs>
          <w:tab w:val="left" w:pos="720"/>
          <w:tab w:val="left" w:pos="1440"/>
        </w:tabs>
        <w:suppressAutoHyphens w:val="0"/>
      </w:pPr>
    </w:p>
    <w:p w:rsidR="00AD3BA6" w:rsidRPr="00F22BAA" w:rsidRDefault="00AD3BA6" w:rsidP="00F22BAA"/>
    <w:p w:rsidR="004263F8" w:rsidRPr="003A2140" w:rsidRDefault="003A2140" w:rsidP="004263F8">
      <w:pPr>
        <w:rPr>
          <w:szCs w:val="26"/>
        </w:rPr>
      </w:pPr>
      <w:r>
        <w:rPr>
          <w:b/>
          <w:szCs w:val="26"/>
          <w:u w:val="single"/>
        </w:rPr>
        <w:t>DWI &amp; Implied Consent</w:t>
      </w:r>
    </w:p>
    <w:p w:rsidR="004263F8" w:rsidRDefault="004263F8" w:rsidP="004263F8">
      <w:pPr>
        <w:suppressAutoHyphens w:val="0"/>
      </w:pPr>
    </w:p>
    <w:p w:rsidR="00F33FD1" w:rsidRPr="00B40B7E" w:rsidRDefault="00F33FD1" w:rsidP="00F33FD1">
      <w:pPr>
        <w:tabs>
          <w:tab w:val="left" w:pos="4680"/>
          <w:tab w:val="left" w:pos="6660"/>
          <w:tab w:val="left" w:pos="8280"/>
        </w:tabs>
        <w:rPr>
          <w:b/>
          <w:szCs w:val="26"/>
        </w:rPr>
      </w:pPr>
      <w:r w:rsidRPr="00B40B7E">
        <w:rPr>
          <w:b/>
          <w:i/>
          <w:szCs w:val="26"/>
        </w:rPr>
        <w:t>State v. Coleman</w:t>
      </w:r>
      <w:r w:rsidRPr="00B40B7E">
        <w:rPr>
          <w:b/>
          <w:szCs w:val="26"/>
        </w:rPr>
        <w:t>, 808 N.W.2d 32 (Minn. App. Jan. 3, 2012)</w:t>
      </w:r>
      <w:r w:rsidR="00E10B5E" w:rsidRPr="00B40B7E">
        <w:rPr>
          <w:b/>
          <w:szCs w:val="26"/>
        </w:rPr>
        <w:t>,</w:t>
      </w:r>
      <w:r w:rsidRPr="00B40B7E">
        <w:rPr>
          <w:b/>
          <w:szCs w:val="26"/>
        </w:rPr>
        <w:t xml:space="preserve"> </w:t>
      </w:r>
      <w:r w:rsidRPr="00B40B7E">
        <w:rPr>
          <w:b/>
          <w:i/>
          <w:szCs w:val="26"/>
        </w:rPr>
        <w:t>review denied</w:t>
      </w:r>
      <w:r w:rsidRPr="00B40B7E">
        <w:rPr>
          <w:b/>
          <w:szCs w:val="26"/>
        </w:rPr>
        <w:t xml:space="preserve"> (Minn. Mar. 28, 2012)</w:t>
      </w:r>
      <w:r w:rsidR="0094600C" w:rsidRPr="00B40B7E">
        <w:rPr>
          <w:b/>
          <w:szCs w:val="26"/>
        </w:rPr>
        <w:t xml:space="preserve"> (A10-1884)</w:t>
      </w:r>
      <w:r w:rsidRPr="00B40B7E">
        <w:rPr>
          <w:b/>
          <w:szCs w:val="26"/>
        </w:rPr>
        <w:t>.</w:t>
      </w:r>
    </w:p>
    <w:p w:rsidR="00F33FD1" w:rsidRDefault="00F33FD1" w:rsidP="00F33FD1">
      <w:pPr>
        <w:contextualSpacing/>
        <w:rPr>
          <w:szCs w:val="26"/>
        </w:rPr>
      </w:pPr>
      <w:r>
        <w:rPr>
          <w:szCs w:val="26"/>
        </w:rPr>
        <w:tab/>
        <w:t>A felony conviction that is subsequently deemed to be a misdemeanor conviction</w:t>
      </w:r>
      <w:r w:rsidRPr="007B0E62">
        <w:rPr>
          <w:szCs w:val="26"/>
        </w:rPr>
        <w:t xml:space="preserve"> pursuant to Minn. Stat. § 609.13 (2008)</w:t>
      </w:r>
      <w:r>
        <w:rPr>
          <w:szCs w:val="26"/>
        </w:rPr>
        <w:t xml:space="preserve"> is a predicate felony for first-degree driving while impaired (DWI) under </w:t>
      </w:r>
      <w:r w:rsidRPr="007B0E62">
        <w:rPr>
          <w:szCs w:val="26"/>
        </w:rPr>
        <w:t>Minn. Stat. §</w:t>
      </w:r>
      <w:r>
        <w:rPr>
          <w:szCs w:val="26"/>
        </w:rPr>
        <w:t> </w:t>
      </w:r>
      <w:r w:rsidRPr="007B0E62">
        <w:rPr>
          <w:szCs w:val="26"/>
        </w:rPr>
        <w:t>169A.24, subd. 1(3)</w:t>
      </w:r>
      <w:r>
        <w:rPr>
          <w:szCs w:val="26"/>
        </w:rPr>
        <w:t xml:space="preserve"> (2008).</w:t>
      </w:r>
    </w:p>
    <w:p w:rsidR="00F33FD1" w:rsidRDefault="00F33FD1" w:rsidP="004263F8">
      <w:pPr>
        <w:suppressAutoHyphens w:val="0"/>
      </w:pPr>
    </w:p>
    <w:p w:rsidR="000624C4" w:rsidRPr="00B40B7E" w:rsidRDefault="000624C4" w:rsidP="000624C4">
      <w:pPr>
        <w:tabs>
          <w:tab w:val="left" w:pos="4680"/>
          <w:tab w:val="left" w:pos="6660"/>
          <w:tab w:val="left" w:pos="8280"/>
        </w:tabs>
        <w:rPr>
          <w:b/>
        </w:rPr>
      </w:pPr>
      <w:r w:rsidRPr="00B40B7E">
        <w:rPr>
          <w:b/>
          <w:i/>
        </w:rPr>
        <w:t>State v. Wendorf</w:t>
      </w:r>
      <w:r w:rsidRPr="00B40B7E">
        <w:rPr>
          <w:b/>
        </w:rPr>
        <w:t>, 814 N.W.2d 359 (Minn. App. Mar. 19, 2012) (A11-0838).</w:t>
      </w:r>
    </w:p>
    <w:p w:rsidR="000624C4" w:rsidRDefault="000624C4" w:rsidP="000624C4">
      <w:pPr>
        <w:pStyle w:val="Heading1"/>
        <w:keepNext w:val="0"/>
        <w:rPr>
          <w:b w:val="0"/>
        </w:rPr>
      </w:pPr>
      <w:r>
        <w:rPr>
          <w:b w:val="0"/>
        </w:rPr>
        <w:tab/>
      </w:r>
      <w:r w:rsidRPr="00505CC9">
        <w:rPr>
          <w:b w:val="0"/>
        </w:rPr>
        <w:t>Minn. Stat. § 169.686</w:t>
      </w:r>
      <w:r>
        <w:rPr>
          <w:b w:val="0"/>
        </w:rPr>
        <w:t xml:space="preserve">, subd. </w:t>
      </w:r>
      <w:r w:rsidRPr="00505CC9">
        <w:rPr>
          <w:b w:val="0"/>
        </w:rPr>
        <w:t>1(a)</w:t>
      </w:r>
      <w:r>
        <w:rPr>
          <w:b w:val="0"/>
        </w:rPr>
        <w:t xml:space="preserve"> (Supp. 2009)</w:t>
      </w:r>
      <w:r w:rsidRPr="00505CC9">
        <w:rPr>
          <w:b w:val="0"/>
        </w:rPr>
        <w:t xml:space="preserve">, as published by the Revisor of Statutes, does not violate due process. </w:t>
      </w:r>
    </w:p>
    <w:p w:rsidR="000624C4" w:rsidRDefault="000624C4" w:rsidP="000624C4"/>
    <w:p w:rsidR="000624C4" w:rsidRPr="00B40B7E" w:rsidRDefault="000624C4" w:rsidP="000624C4">
      <w:pPr>
        <w:pStyle w:val="ListParagraph"/>
        <w:tabs>
          <w:tab w:val="left" w:pos="720"/>
        </w:tabs>
        <w:spacing w:line="240" w:lineRule="auto"/>
        <w:ind w:left="0"/>
        <w:jc w:val="both"/>
        <w:rPr>
          <w:b/>
        </w:rPr>
      </w:pPr>
      <w:r w:rsidRPr="00B40B7E">
        <w:rPr>
          <w:b/>
          <w:i/>
        </w:rPr>
        <w:lastRenderedPageBreak/>
        <w:t>State v. Wiseman</w:t>
      </w:r>
      <w:r w:rsidRPr="00B40B7E">
        <w:rPr>
          <w:b/>
        </w:rPr>
        <w:t xml:space="preserve">, 816 N.W.2d 689 (Minn. App. July 16, 2012), </w:t>
      </w:r>
      <w:r w:rsidRPr="00B40B7E">
        <w:rPr>
          <w:b/>
          <w:i/>
        </w:rPr>
        <w:t>review denied</w:t>
      </w:r>
      <w:r w:rsidRPr="00B40B7E">
        <w:rPr>
          <w:b/>
        </w:rPr>
        <w:t xml:space="preserve"> (Minn. Sept. 25, 2012) (A11-1191).</w:t>
      </w:r>
    </w:p>
    <w:p w:rsidR="000624C4" w:rsidRPr="00CB48BD" w:rsidRDefault="000624C4" w:rsidP="000624C4">
      <w:pPr>
        <w:pStyle w:val="ListParagraph"/>
        <w:tabs>
          <w:tab w:val="left" w:pos="720"/>
        </w:tabs>
        <w:spacing w:line="240" w:lineRule="auto"/>
        <w:ind w:left="0"/>
        <w:jc w:val="both"/>
      </w:pPr>
      <w:r>
        <w:tab/>
        <w:t>Minnesota’s chemical-test-refusal statute does not violate an individual’s substantive-due-process rights because an individual does not have a fundamental right under the due-process clauses of the United States Constitution and Minnesota Constitution to passively or nonviolently refuse to submit to a constitutionally reasonable police search, and the imposition of</w:t>
      </w:r>
      <w:r w:rsidRPr="00554BCA">
        <w:t xml:space="preserve"> criminal penalties for refusing to submit to </w:t>
      </w:r>
      <w:r>
        <w:t xml:space="preserve">a properly requested </w:t>
      </w:r>
      <w:r w:rsidRPr="00554BCA">
        <w:t>chemical test</w:t>
      </w:r>
      <w:r>
        <w:t xml:space="preserve"> is a reasonable means to a permissible state objective.  </w:t>
      </w:r>
    </w:p>
    <w:p w:rsidR="000624C4" w:rsidRDefault="000624C4" w:rsidP="000624C4">
      <w:pPr>
        <w:rPr>
          <w:i/>
        </w:rPr>
      </w:pPr>
    </w:p>
    <w:p w:rsidR="000B5EF2" w:rsidRPr="00F22BAA" w:rsidRDefault="000B5EF2" w:rsidP="00F22BAA"/>
    <w:p w:rsidR="004263F8" w:rsidRDefault="004263F8" w:rsidP="004263F8">
      <w:pPr>
        <w:suppressAutoHyphens w:val="0"/>
      </w:pPr>
      <w:r>
        <w:rPr>
          <w:b/>
          <w:u w:val="single"/>
        </w:rPr>
        <w:t>Evidence</w:t>
      </w:r>
    </w:p>
    <w:p w:rsidR="004263F8" w:rsidRDefault="004263F8" w:rsidP="004263F8">
      <w:pPr>
        <w:suppressAutoHyphens w:val="0"/>
      </w:pPr>
    </w:p>
    <w:p w:rsidR="00F123F0" w:rsidRPr="00B40B7E" w:rsidRDefault="00F123F0" w:rsidP="00F123F0">
      <w:pPr>
        <w:rPr>
          <w:b/>
        </w:rPr>
      </w:pPr>
      <w:r w:rsidRPr="00B40B7E">
        <w:rPr>
          <w:b/>
          <w:i/>
        </w:rPr>
        <w:t>State v. Ards</w:t>
      </w:r>
      <w:r w:rsidRPr="00B40B7E">
        <w:rPr>
          <w:b/>
        </w:rPr>
        <w:t>, 816 N.W.2d 679 (Minn. App. July 16, 2012) (A11-1117).</w:t>
      </w:r>
    </w:p>
    <w:p w:rsidR="00F123F0" w:rsidRPr="009058D0" w:rsidRDefault="00F123F0" w:rsidP="00F123F0">
      <w:pPr>
        <w:pStyle w:val="Heading1"/>
        <w:keepNext w:val="0"/>
        <w:ind w:firstLine="720"/>
        <w:rPr>
          <w:b w:val="0"/>
        </w:rPr>
      </w:pPr>
      <w:r w:rsidRPr="009058D0">
        <w:rPr>
          <w:b w:val="0"/>
        </w:rPr>
        <w:t>A police officer’s testimony about an individual’s alcohol impairment based on personal observation is not expert opinion testimony within the meaning of Minnesota Rule of Evidence 702.</w:t>
      </w:r>
    </w:p>
    <w:p w:rsidR="00FA35E5" w:rsidRDefault="00FA35E5" w:rsidP="009F759B">
      <w:pPr>
        <w:tabs>
          <w:tab w:val="left" w:pos="720"/>
          <w:tab w:val="left" w:pos="1440"/>
        </w:tabs>
        <w:suppressAutoHyphens w:val="0"/>
      </w:pPr>
    </w:p>
    <w:p w:rsidR="002A2E97" w:rsidRDefault="002A2E97" w:rsidP="009F759B">
      <w:pPr>
        <w:tabs>
          <w:tab w:val="left" w:pos="720"/>
          <w:tab w:val="left" w:pos="1440"/>
        </w:tabs>
        <w:suppressAutoHyphens w:val="0"/>
      </w:pPr>
    </w:p>
    <w:p w:rsidR="004263F8" w:rsidRPr="00B9626E" w:rsidRDefault="003A2140" w:rsidP="004263F8">
      <w:pPr>
        <w:tabs>
          <w:tab w:val="left" w:pos="720"/>
          <w:tab w:val="left" w:pos="1440"/>
          <w:tab w:val="left" w:pos="2160"/>
        </w:tabs>
        <w:rPr>
          <w:b/>
          <w:u w:val="single"/>
        </w:rPr>
      </w:pPr>
      <w:r>
        <w:rPr>
          <w:b/>
          <w:u w:val="single"/>
        </w:rPr>
        <w:t>Guilty Pleas</w:t>
      </w:r>
      <w:r w:rsidR="004263F8">
        <w:t xml:space="preserve"> </w:t>
      </w:r>
    </w:p>
    <w:p w:rsidR="004263F8" w:rsidRDefault="004263F8" w:rsidP="004263F8">
      <w:pPr>
        <w:tabs>
          <w:tab w:val="left" w:pos="720"/>
          <w:tab w:val="left" w:pos="1440"/>
          <w:tab w:val="left" w:pos="2160"/>
        </w:tabs>
        <w:jc w:val="left"/>
      </w:pPr>
    </w:p>
    <w:p w:rsidR="00DA5814" w:rsidRPr="00B40B7E" w:rsidRDefault="00DA5814" w:rsidP="00DA5814">
      <w:pPr>
        <w:rPr>
          <w:b/>
        </w:rPr>
      </w:pPr>
      <w:r w:rsidRPr="00B40B7E">
        <w:rPr>
          <w:b/>
          <w:i/>
        </w:rPr>
        <w:t>Sames v. State</w:t>
      </w:r>
      <w:r w:rsidRPr="00B40B7E">
        <w:rPr>
          <w:b/>
        </w:rPr>
        <w:t xml:space="preserve">, 805 N.W.2d 565 (Minn. App. Oct. 17, 2011), </w:t>
      </w:r>
      <w:r w:rsidRPr="00B40B7E">
        <w:rPr>
          <w:b/>
          <w:i/>
        </w:rPr>
        <w:t>review denied</w:t>
      </w:r>
      <w:r w:rsidRPr="00B40B7E">
        <w:rPr>
          <w:b/>
        </w:rPr>
        <w:t xml:space="preserve"> (Minn. Dec. 21, 2011) (A11-</w:t>
      </w:r>
      <w:r w:rsidR="0094600C" w:rsidRPr="00B40B7E">
        <w:rPr>
          <w:b/>
        </w:rPr>
        <w:t>0</w:t>
      </w:r>
      <w:r w:rsidRPr="00B40B7E">
        <w:rPr>
          <w:b/>
        </w:rPr>
        <w:t>375).</w:t>
      </w:r>
    </w:p>
    <w:p w:rsidR="00DA5814" w:rsidRDefault="00DA5814" w:rsidP="00DA5814">
      <w:pPr>
        <w:ind w:firstLine="720"/>
      </w:pPr>
      <w:r>
        <w:t xml:space="preserve">An attorney representing a criminal defendant does not provide constitutionally ineffective assistance of counsel by failing to inform the defendant that pleading guilty to a crime may cause the defendant to become ineligible to possess a firearm.  </w:t>
      </w:r>
      <w:r w:rsidRPr="00A31043">
        <w:t xml:space="preserve">The holding in </w:t>
      </w:r>
      <w:r w:rsidRPr="00A31043">
        <w:rPr>
          <w:i/>
        </w:rPr>
        <w:t>Padilla v. Kentucky</w:t>
      </w:r>
      <w:r w:rsidRPr="00A31043">
        <w:t xml:space="preserve">, </w:t>
      </w:r>
      <w:r w:rsidR="00556594">
        <w:t xml:space="preserve">--- U.S. ----, </w:t>
      </w:r>
      <w:r w:rsidRPr="00A31043">
        <w:t xml:space="preserve">130 S. Ct. 1473 (2010), </w:t>
      </w:r>
      <w:r>
        <w:t xml:space="preserve">which concerns the risk of deportation following a guilty plea, </w:t>
      </w:r>
      <w:r w:rsidRPr="00A31043">
        <w:t xml:space="preserve">does not apply to </w:t>
      </w:r>
      <w:r>
        <w:t xml:space="preserve">the risk of becoming ineligible to possess a </w:t>
      </w:r>
      <w:r w:rsidRPr="00A31043">
        <w:t>firearm.</w:t>
      </w:r>
    </w:p>
    <w:p w:rsidR="004263F8" w:rsidRDefault="004263F8" w:rsidP="004263F8">
      <w:pPr>
        <w:tabs>
          <w:tab w:val="left" w:pos="720"/>
          <w:tab w:val="left" w:pos="1440"/>
          <w:tab w:val="left" w:pos="2160"/>
        </w:tabs>
        <w:jc w:val="left"/>
        <w:rPr>
          <w:u w:val="single"/>
        </w:rPr>
      </w:pPr>
    </w:p>
    <w:p w:rsidR="00D12834" w:rsidRDefault="00D12834" w:rsidP="004263F8">
      <w:pPr>
        <w:tabs>
          <w:tab w:val="left" w:pos="720"/>
          <w:tab w:val="left" w:pos="1440"/>
          <w:tab w:val="left" w:pos="2160"/>
        </w:tabs>
        <w:jc w:val="left"/>
        <w:rPr>
          <w:u w:val="single"/>
        </w:rPr>
      </w:pPr>
    </w:p>
    <w:p w:rsidR="0023349A" w:rsidRDefault="003A2140" w:rsidP="00BF672C">
      <w:pPr>
        <w:keepNext/>
        <w:tabs>
          <w:tab w:val="left" w:pos="720"/>
          <w:tab w:val="left" w:pos="1440"/>
          <w:tab w:val="left" w:pos="2160"/>
        </w:tabs>
        <w:jc w:val="left"/>
      </w:pPr>
      <w:r>
        <w:rPr>
          <w:b/>
          <w:u w:val="single"/>
        </w:rPr>
        <w:t>Postconviction</w:t>
      </w:r>
    </w:p>
    <w:p w:rsidR="003A2140" w:rsidRDefault="003A2140" w:rsidP="004263F8">
      <w:pPr>
        <w:tabs>
          <w:tab w:val="left" w:pos="720"/>
          <w:tab w:val="left" w:pos="1440"/>
          <w:tab w:val="left" w:pos="2160"/>
        </w:tabs>
        <w:jc w:val="left"/>
      </w:pPr>
    </w:p>
    <w:p w:rsidR="00D12834" w:rsidRPr="00B40B7E" w:rsidRDefault="00D12834" w:rsidP="00D12834">
      <w:pPr>
        <w:rPr>
          <w:b/>
          <w:szCs w:val="26"/>
        </w:rPr>
      </w:pPr>
      <w:r w:rsidRPr="00B40B7E">
        <w:rPr>
          <w:b/>
          <w:i/>
          <w:iCs/>
          <w:szCs w:val="26"/>
        </w:rPr>
        <w:t>Freeman v. State</w:t>
      </w:r>
      <w:r w:rsidRPr="00B40B7E">
        <w:rPr>
          <w:b/>
          <w:szCs w:val="26"/>
        </w:rPr>
        <w:t xml:space="preserve">, 804 N.W.2d 144 (Minn. App. Sept. 26, 2011), </w:t>
      </w:r>
      <w:r w:rsidRPr="00B40B7E">
        <w:rPr>
          <w:b/>
          <w:i/>
          <w:iCs/>
          <w:szCs w:val="26"/>
        </w:rPr>
        <w:t xml:space="preserve">review denied </w:t>
      </w:r>
      <w:r w:rsidRPr="00B40B7E">
        <w:rPr>
          <w:b/>
          <w:szCs w:val="26"/>
        </w:rPr>
        <w:t>(Minn. Dec. 13, 2011) (A11-0215).</w:t>
      </w:r>
    </w:p>
    <w:p w:rsidR="00D12834" w:rsidRDefault="00D12834" w:rsidP="00B57F9F">
      <w:pPr>
        <w:ind w:firstLine="720"/>
        <w:rPr>
          <w:color w:val="000000"/>
          <w:szCs w:val="26"/>
        </w:rPr>
      </w:pPr>
      <w:r>
        <w:rPr>
          <w:color w:val="000000"/>
          <w:szCs w:val="26"/>
        </w:rPr>
        <w:t>Postconviction relief is unavailable to a petty misdemeanant because a petty-misdemeanor offense is not a crime and the Minnesota Postconviction Relief Act by its plain language provides a remedy only to a person “convicted of a crime.”</w:t>
      </w:r>
    </w:p>
    <w:p w:rsidR="00D12834" w:rsidRDefault="00D12834" w:rsidP="00D12834">
      <w:pPr>
        <w:tabs>
          <w:tab w:val="left" w:pos="720"/>
          <w:tab w:val="left" w:pos="1440"/>
          <w:tab w:val="left" w:pos="2160"/>
        </w:tabs>
        <w:jc w:val="left"/>
      </w:pPr>
    </w:p>
    <w:p w:rsidR="00D532CF" w:rsidRDefault="00D532CF" w:rsidP="00D12834">
      <w:pPr>
        <w:tabs>
          <w:tab w:val="left" w:pos="720"/>
          <w:tab w:val="left" w:pos="1440"/>
          <w:tab w:val="left" w:pos="2160"/>
        </w:tabs>
        <w:jc w:val="left"/>
      </w:pPr>
    </w:p>
    <w:p w:rsidR="00D532CF" w:rsidRDefault="00D532CF" w:rsidP="00D12834">
      <w:pPr>
        <w:tabs>
          <w:tab w:val="left" w:pos="720"/>
          <w:tab w:val="left" w:pos="1440"/>
          <w:tab w:val="left" w:pos="2160"/>
        </w:tabs>
        <w:jc w:val="left"/>
      </w:pPr>
    </w:p>
    <w:p w:rsidR="00D532CF" w:rsidRDefault="00D532CF" w:rsidP="00D12834">
      <w:pPr>
        <w:tabs>
          <w:tab w:val="left" w:pos="720"/>
          <w:tab w:val="left" w:pos="1440"/>
          <w:tab w:val="left" w:pos="2160"/>
        </w:tabs>
        <w:jc w:val="left"/>
      </w:pPr>
    </w:p>
    <w:p w:rsidR="00BF672C" w:rsidRPr="00B40B7E" w:rsidRDefault="00BF672C" w:rsidP="00BF672C">
      <w:pPr>
        <w:spacing w:before="60"/>
        <w:rPr>
          <w:b/>
          <w:i/>
        </w:rPr>
      </w:pPr>
      <w:r w:rsidRPr="00B40B7E">
        <w:rPr>
          <w:b/>
          <w:i/>
        </w:rPr>
        <w:lastRenderedPageBreak/>
        <w:t>Barnslater v. State</w:t>
      </w:r>
      <w:r w:rsidRPr="00B40B7E">
        <w:rPr>
          <w:b/>
        </w:rPr>
        <w:t xml:space="preserve">, 805 N.W.2d 910 (Minn. App. </w:t>
      </w:r>
      <w:r w:rsidR="00B87FF0" w:rsidRPr="00B40B7E">
        <w:rPr>
          <w:b/>
        </w:rPr>
        <w:t xml:space="preserve">Nov. 21, </w:t>
      </w:r>
      <w:r w:rsidRPr="00B40B7E">
        <w:rPr>
          <w:b/>
        </w:rPr>
        <w:t>2011)</w:t>
      </w:r>
      <w:r w:rsidR="0094600C" w:rsidRPr="00B40B7E">
        <w:rPr>
          <w:b/>
        </w:rPr>
        <w:t xml:space="preserve"> (A11-0304)</w:t>
      </w:r>
      <w:r w:rsidRPr="00B40B7E">
        <w:rPr>
          <w:b/>
        </w:rPr>
        <w:t>.</w:t>
      </w:r>
    </w:p>
    <w:p w:rsidR="00BF672C" w:rsidRDefault="00BF672C" w:rsidP="00294673">
      <w:pPr>
        <w:tabs>
          <w:tab w:val="left" w:pos="720"/>
          <w:tab w:val="left" w:pos="1440"/>
          <w:tab w:val="left" w:pos="2160"/>
        </w:tabs>
      </w:pPr>
      <w:r>
        <w:tab/>
        <w:t xml:space="preserve">A convicted person’s probation-revocation appeal that does not challenge his underlying conviction is not a direct appeal that, under </w:t>
      </w:r>
      <w:r w:rsidRPr="00A41DAF">
        <w:rPr>
          <w:i/>
        </w:rPr>
        <w:t>Knaffla</w:t>
      </w:r>
      <w:r>
        <w:t>, bars his later petition for postconviction relief filed under Minnesota Statutes section 590.01 (2008).</w:t>
      </w:r>
    </w:p>
    <w:p w:rsidR="00BF672C" w:rsidRDefault="00BF672C" w:rsidP="00BF672C">
      <w:pPr>
        <w:tabs>
          <w:tab w:val="left" w:pos="720"/>
          <w:tab w:val="left" w:pos="1440"/>
          <w:tab w:val="left" w:pos="2160"/>
        </w:tabs>
        <w:jc w:val="left"/>
      </w:pPr>
    </w:p>
    <w:p w:rsidR="00A63E5D" w:rsidRPr="00B40B7E" w:rsidRDefault="00A63E5D" w:rsidP="00A63E5D">
      <w:pPr>
        <w:widowControl w:val="0"/>
        <w:rPr>
          <w:b/>
        </w:rPr>
      </w:pPr>
      <w:r w:rsidRPr="00B40B7E">
        <w:rPr>
          <w:b/>
          <w:i/>
        </w:rPr>
        <w:t>Yang v. State</w:t>
      </w:r>
      <w:r w:rsidRPr="00B40B7E">
        <w:rPr>
          <w:b/>
        </w:rPr>
        <w:t xml:space="preserve">, 805 N.W.2d 921 (Minn. App. Nov. 28, 2011), </w:t>
      </w:r>
      <w:r w:rsidRPr="00B40B7E">
        <w:rPr>
          <w:b/>
          <w:i/>
        </w:rPr>
        <w:t>review granted</w:t>
      </w:r>
      <w:r w:rsidRPr="00B40B7E">
        <w:rPr>
          <w:b/>
        </w:rPr>
        <w:t xml:space="preserve"> </w:t>
      </w:r>
      <w:r w:rsidR="007917FA" w:rsidRPr="00B40B7E">
        <w:rPr>
          <w:b/>
          <w:i/>
        </w:rPr>
        <w:t>and stayed</w:t>
      </w:r>
      <w:r w:rsidR="007917FA" w:rsidRPr="00B40B7E">
        <w:rPr>
          <w:b/>
        </w:rPr>
        <w:t xml:space="preserve"> </w:t>
      </w:r>
      <w:r w:rsidRPr="00B40B7E">
        <w:rPr>
          <w:b/>
        </w:rPr>
        <w:t xml:space="preserve">(Minn. Jan. 17, 2011), </w:t>
      </w:r>
      <w:r w:rsidR="00D8493F" w:rsidRPr="00B40B7E">
        <w:rPr>
          <w:b/>
          <w:i/>
        </w:rPr>
        <w:t>stay vacated,</w:t>
      </w:r>
      <w:r w:rsidR="00D8493F" w:rsidRPr="00B40B7E">
        <w:rPr>
          <w:b/>
        </w:rPr>
        <w:t xml:space="preserve"> </w:t>
      </w:r>
      <w:r w:rsidRPr="00B40B7E">
        <w:rPr>
          <w:b/>
          <w:i/>
        </w:rPr>
        <w:t xml:space="preserve">review denied </w:t>
      </w:r>
      <w:r w:rsidRPr="00B40B7E">
        <w:rPr>
          <w:b/>
        </w:rPr>
        <w:t>(Minn. Aug. 7, 2012) (A11-0400).</w:t>
      </w:r>
    </w:p>
    <w:p w:rsidR="00A63E5D" w:rsidRDefault="00A63E5D" w:rsidP="00A63E5D">
      <w:pPr>
        <w:pStyle w:val="Default"/>
        <w:jc w:val="both"/>
        <w:rPr>
          <w:sz w:val="26"/>
          <w:szCs w:val="26"/>
        </w:rPr>
      </w:pPr>
      <w:r>
        <w:rPr>
          <w:sz w:val="26"/>
          <w:szCs w:val="26"/>
        </w:rPr>
        <w:tab/>
        <w:t>1.</w:t>
      </w:r>
      <w:r>
        <w:rPr>
          <w:sz w:val="26"/>
          <w:szCs w:val="26"/>
        </w:rPr>
        <w:tab/>
        <w:t xml:space="preserve">Minn. Stat. § 590.01, subd. 4(c) (2010), bars a claim brought under Minn. Stat. § 590.01, subd. 4(b)(5) (2010), where the petition for postconviction relief is filed more than two years after the date of an event establishing a right to relief in the interests of justice. </w:t>
      </w:r>
    </w:p>
    <w:p w:rsidR="00A63E5D" w:rsidRDefault="00A63E5D" w:rsidP="00A63E5D">
      <w:pPr>
        <w:pStyle w:val="Default"/>
        <w:jc w:val="both"/>
        <w:rPr>
          <w:sz w:val="26"/>
          <w:szCs w:val="26"/>
        </w:rPr>
      </w:pPr>
      <w:r>
        <w:rPr>
          <w:sz w:val="26"/>
          <w:szCs w:val="26"/>
        </w:rPr>
        <w:tab/>
      </w:r>
      <w:r>
        <w:rPr>
          <w:color w:val="auto"/>
          <w:sz w:val="26"/>
          <w:szCs w:val="26"/>
        </w:rPr>
        <w:t>2.</w:t>
      </w:r>
      <w:r>
        <w:rPr>
          <w:color w:val="auto"/>
          <w:sz w:val="26"/>
          <w:szCs w:val="26"/>
        </w:rPr>
        <w:tab/>
        <w:t>When a court imposes a longer conditional-release term than was contemplated by the terms of the plea agreement and allegedly violates that agreement, a potential claim establishing a right to relief under Minn. Stat. § 590.01, subd. 4(b)(5), arises on the date the court imposed the increased conditional-release term.</w:t>
      </w:r>
    </w:p>
    <w:p w:rsidR="00A63E5D" w:rsidRDefault="00A63E5D" w:rsidP="004263F8">
      <w:pPr>
        <w:tabs>
          <w:tab w:val="left" w:pos="720"/>
          <w:tab w:val="left" w:pos="1440"/>
          <w:tab w:val="left" w:pos="2160"/>
        </w:tabs>
        <w:jc w:val="left"/>
        <w:rPr>
          <w:i/>
        </w:rPr>
      </w:pPr>
    </w:p>
    <w:p w:rsidR="00294673" w:rsidRPr="00B40B7E" w:rsidRDefault="00294673" w:rsidP="004263F8">
      <w:pPr>
        <w:tabs>
          <w:tab w:val="left" w:pos="720"/>
          <w:tab w:val="left" w:pos="1440"/>
          <w:tab w:val="left" w:pos="2160"/>
        </w:tabs>
        <w:jc w:val="left"/>
        <w:rPr>
          <w:b/>
        </w:rPr>
      </w:pPr>
      <w:r w:rsidRPr="00B40B7E">
        <w:rPr>
          <w:b/>
          <w:i/>
        </w:rPr>
        <w:t>State v. Henry</w:t>
      </w:r>
      <w:r w:rsidRPr="00B40B7E">
        <w:rPr>
          <w:b/>
        </w:rPr>
        <w:t>, 809 N.W.2d 251 (Minn. App. Jan. 9, 2012) (A11-1600).</w:t>
      </w:r>
    </w:p>
    <w:p w:rsidR="00294673" w:rsidRPr="00294673" w:rsidRDefault="00294673" w:rsidP="00294673">
      <w:pPr>
        <w:tabs>
          <w:tab w:val="left" w:pos="720"/>
          <w:tab w:val="left" w:pos="1440"/>
          <w:tab w:val="left" w:pos="2160"/>
        </w:tabs>
        <w:ind w:firstLine="720"/>
      </w:pPr>
      <w:r>
        <w:t>In the absence of a motion or petition, a letter response by the sentencing judge to a prisoner’s inquiry about fines imposed does not constitute an appealable order.</w:t>
      </w:r>
    </w:p>
    <w:p w:rsidR="00D12834" w:rsidRDefault="00D12834" w:rsidP="004263F8">
      <w:pPr>
        <w:tabs>
          <w:tab w:val="left" w:pos="720"/>
          <w:tab w:val="left" w:pos="1440"/>
          <w:tab w:val="left" w:pos="2160"/>
        </w:tabs>
        <w:jc w:val="left"/>
        <w:rPr>
          <w:u w:val="single"/>
        </w:rPr>
      </w:pPr>
    </w:p>
    <w:p w:rsidR="008B6634" w:rsidRPr="007F3BD7" w:rsidRDefault="008B6634" w:rsidP="004263F8">
      <w:pPr>
        <w:tabs>
          <w:tab w:val="left" w:pos="720"/>
          <w:tab w:val="left" w:pos="1440"/>
          <w:tab w:val="left" w:pos="2160"/>
        </w:tabs>
        <w:jc w:val="left"/>
        <w:rPr>
          <w:u w:val="single"/>
        </w:rPr>
      </w:pPr>
    </w:p>
    <w:p w:rsidR="004263F8" w:rsidRPr="008D3794" w:rsidRDefault="004263F8" w:rsidP="004263F8">
      <w:pPr>
        <w:suppressAutoHyphens w:val="0"/>
        <w:rPr>
          <w:b/>
          <w:u w:val="single"/>
        </w:rPr>
      </w:pPr>
      <w:r>
        <w:rPr>
          <w:b/>
          <w:u w:val="single"/>
        </w:rPr>
        <w:t>Pretrial Procedure</w:t>
      </w:r>
    </w:p>
    <w:p w:rsidR="004263F8" w:rsidRDefault="004263F8" w:rsidP="004263F8">
      <w:pPr>
        <w:suppressAutoHyphens w:val="0"/>
        <w:jc w:val="left"/>
      </w:pPr>
    </w:p>
    <w:p w:rsidR="000624C4" w:rsidRPr="00B40B7E" w:rsidRDefault="000624C4" w:rsidP="000624C4">
      <w:pPr>
        <w:widowControl w:val="0"/>
        <w:rPr>
          <w:b/>
        </w:rPr>
      </w:pPr>
      <w:r w:rsidRPr="00B40B7E">
        <w:rPr>
          <w:b/>
          <w:i/>
        </w:rPr>
        <w:t>State v. Mulcahy</w:t>
      </w:r>
      <w:r w:rsidRPr="00B40B7E">
        <w:rPr>
          <w:b/>
        </w:rPr>
        <w:t>, 816 N.W.2d 644 (Minn. App. June 11, 2012) (A11-1136).</w:t>
      </w:r>
    </w:p>
    <w:p w:rsidR="000624C4" w:rsidRPr="009C4089" w:rsidRDefault="000624C4" w:rsidP="000624C4">
      <w:pPr>
        <w:rPr>
          <w:szCs w:val="26"/>
        </w:rPr>
      </w:pPr>
      <w:r>
        <w:rPr>
          <w:szCs w:val="26"/>
        </w:rPr>
        <w:tab/>
      </w:r>
      <w:r w:rsidRPr="009C4089">
        <w:rPr>
          <w:szCs w:val="26"/>
        </w:rPr>
        <w:t>Minn. Stat. § 629.59 (2010) (permitting district courts to forgive or reduce the penalty when a bail bond is forfeited) does not apply to the penalty imposed by Minn. R. Gen. Pract. 702(f) on the reinstatement of forfeited bonds when the petition for reinstatement is filed between 90 and 180 days from the date of forfeiture.</w:t>
      </w:r>
    </w:p>
    <w:p w:rsidR="000624C4" w:rsidRDefault="000624C4" w:rsidP="000624C4">
      <w:pPr>
        <w:rPr>
          <w:szCs w:val="26"/>
        </w:rPr>
      </w:pPr>
    </w:p>
    <w:p w:rsidR="00D12834" w:rsidRPr="00B40B7E" w:rsidRDefault="00D12834" w:rsidP="00D12834">
      <w:pPr>
        <w:suppressAutoHyphens w:val="0"/>
        <w:contextualSpacing/>
        <w:rPr>
          <w:rFonts w:eastAsia="Calibri"/>
          <w:b/>
          <w:i/>
          <w:szCs w:val="26"/>
        </w:rPr>
      </w:pPr>
      <w:r w:rsidRPr="00B40B7E">
        <w:rPr>
          <w:rFonts w:eastAsia="Calibri"/>
          <w:b/>
          <w:i/>
          <w:szCs w:val="26"/>
        </w:rPr>
        <w:t>State v. Spangler</w:t>
      </w:r>
      <w:r w:rsidRPr="00B40B7E">
        <w:rPr>
          <w:rFonts w:eastAsia="Calibri"/>
          <w:b/>
          <w:szCs w:val="26"/>
        </w:rPr>
        <w:t xml:space="preserve">, 816 N.W.2d 651 (Minn. App. June 18, 2012), </w:t>
      </w:r>
      <w:r w:rsidRPr="00B40B7E">
        <w:rPr>
          <w:rFonts w:eastAsia="Calibri"/>
          <w:b/>
          <w:i/>
          <w:szCs w:val="26"/>
        </w:rPr>
        <w:t xml:space="preserve">review denied </w:t>
      </w:r>
      <w:r w:rsidRPr="00B40B7E">
        <w:rPr>
          <w:rFonts w:eastAsia="Calibri"/>
          <w:b/>
          <w:szCs w:val="26"/>
        </w:rPr>
        <w:t>(Minn. Aug. 21, 2012) (A11-0797).</w:t>
      </w:r>
    </w:p>
    <w:p w:rsidR="00D12834" w:rsidRPr="0077039C" w:rsidRDefault="00D12834" w:rsidP="00D12834">
      <w:pPr>
        <w:suppressAutoHyphens w:val="0"/>
        <w:contextualSpacing/>
        <w:rPr>
          <w:rFonts w:eastAsia="Calibri"/>
          <w:szCs w:val="26"/>
        </w:rPr>
      </w:pPr>
      <w:r w:rsidRPr="0077039C">
        <w:rPr>
          <w:rFonts w:eastAsia="Calibri"/>
          <w:szCs w:val="26"/>
        </w:rPr>
        <w:tab/>
        <w:t>A district court does not err by approving the parties’ agreement in a criminal case to excuse a prospective juror prior to voir dire when that juror was the prosecuting attorney’s next-door neighbor.</w:t>
      </w:r>
    </w:p>
    <w:p w:rsidR="00D12834" w:rsidRDefault="00D12834" w:rsidP="00D12834">
      <w:pPr>
        <w:suppressAutoHyphens w:val="0"/>
        <w:jc w:val="left"/>
      </w:pPr>
    </w:p>
    <w:p w:rsidR="00CA4BC8" w:rsidRPr="00B40B7E" w:rsidRDefault="00CA4BC8" w:rsidP="003D142A">
      <w:pPr>
        <w:spacing w:before="60"/>
        <w:rPr>
          <w:b/>
          <w:i/>
        </w:rPr>
      </w:pPr>
      <w:r w:rsidRPr="00B40B7E">
        <w:rPr>
          <w:b/>
          <w:i/>
        </w:rPr>
        <w:t>State v. Hunter</w:t>
      </w:r>
      <w:r w:rsidRPr="00B40B7E">
        <w:rPr>
          <w:b/>
        </w:rPr>
        <w:t xml:space="preserve">, 815 N.W.2d 518 (Minn. App. </w:t>
      </w:r>
      <w:r w:rsidR="0090478F" w:rsidRPr="00B40B7E">
        <w:rPr>
          <w:b/>
        </w:rPr>
        <w:t xml:space="preserve">July 2, </w:t>
      </w:r>
      <w:r w:rsidRPr="00B40B7E">
        <w:rPr>
          <w:b/>
        </w:rPr>
        <w:t>2012)</w:t>
      </w:r>
      <w:r w:rsidR="0094600C" w:rsidRPr="00B40B7E">
        <w:rPr>
          <w:b/>
        </w:rPr>
        <w:t xml:space="preserve"> (A11-1713)</w:t>
      </w:r>
      <w:r w:rsidRPr="00B40B7E">
        <w:rPr>
          <w:b/>
        </w:rPr>
        <w:t>.</w:t>
      </w:r>
    </w:p>
    <w:p w:rsidR="00CA4BC8" w:rsidRDefault="00CA4BC8" w:rsidP="003D142A">
      <w:pPr>
        <w:suppressAutoHyphens w:val="0"/>
      </w:pPr>
      <w:r>
        <w:tab/>
        <w:t>Whether a defendant has consented to the declaration of a mistrial is a factual question to be decided by the district court, reviewable on appeal for clear error.</w:t>
      </w:r>
    </w:p>
    <w:p w:rsidR="00CA4BC8" w:rsidRDefault="00CA4BC8" w:rsidP="003D142A">
      <w:pPr>
        <w:suppressAutoHyphens w:val="0"/>
      </w:pPr>
    </w:p>
    <w:p w:rsidR="00D532CF" w:rsidRDefault="00D532CF" w:rsidP="003D142A">
      <w:pPr>
        <w:suppressAutoHyphens w:val="0"/>
      </w:pPr>
    </w:p>
    <w:p w:rsidR="00D532CF" w:rsidRDefault="00D532CF" w:rsidP="003D142A">
      <w:pPr>
        <w:suppressAutoHyphens w:val="0"/>
      </w:pPr>
    </w:p>
    <w:p w:rsidR="000624C4" w:rsidRPr="00B40B7E" w:rsidRDefault="000624C4" w:rsidP="000624C4">
      <w:pPr>
        <w:spacing w:before="60"/>
        <w:rPr>
          <w:b/>
          <w:i/>
        </w:rPr>
      </w:pPr>
      <w:r w:rsidRPr="00B40B7E">
        <w:rPr>
          <w:b/>
          <w:i/>
        </w:rPr>
        <w:lastRenderedPageBreak/>
        <w:t>State v. Fellegy</w:t>
      </w:r>
      <w:r w:rsidRPr="00B40B7E">
        <w:rPr>
          <w:b/>
        </w:rPr>
        <w:t xml:space="preserve">, 819 N.W.2d 700 (Minn. App. July 11, 2012), </w:t>
      </w:r>
      <w:r w:rsidRPr="00B40B7E">
        <w:rPr>
          <w:b/>
          <w:i/>
        </w:rPr>
        <w:t>review denied</w:t>
      </w:r>
      <w:r w:rsidRPr="00B40B7E">
        <w:rPr>
          <w:b/>
        </w:rPr>
        <w:t xml:space="preserve"> (Minn. Oct. 16, 2012) (A11-1097).</w:t>
      </w:r>
    </w:p>
    <w:p w:rsidR="000624C4" w:rsidRDefault="000624C4" w:rsidP="000624C4">
      <w:r>
        <w:tab/>
        <w:t xml:space="preserve">The </w:t>
      </w:r>
      <w:r w:rsidRPr="00D36BCD">
        <w:t xml:space="preserve">district court need not </w:t>
      </w:r>
      <w:r>
        <w:t xml:space="preserve">conduct an evidentiary hearing </w:t>
      </w:r>
      <w:r w:rsidRPr="00D36BCD">
        <w:t>o</w:t>
      </w:r>
      <w:r>
        <w:t>n</w:t>
      </w:r>
      <w:r w:rsidRPr="00D36BCD">
        <w:t xml:space="preserve"> a </w:t>
      </w:r>
      <w:r>
        <w:t xml:space="preserve">criminal defendant’s </w:t>
      </w:r>
      <w:r w:rsidRPr="00D36BCD">
        <w:t xml:space="preserve">pretrial </w:t>
      </w:r>
      <w:r>
        <w:t xml:space="preserve">motion to dismiss based on the defendant’s </w:t>
      </w:r>
      <w:r w:rsidRPr="00D36BCD">
        <w:t xml:space="preserve">claim </w:t>
      </w:r>
      <w:r>
        <w:t xml:space="preserve">under his right to equal protection that the charge arose from unconstitutional selective enforcement if </w:t>
      </w:r>
      <w:r w:rsidRPr="00D36BCD">
        <w:t>the defendant has</w:t>
      </w:r>
      <w:r>
        <w:t xml:space="preserve"> </w:t>
      </w:r>
      <w:r w:rsidRPr="00D36BCD">
        <w:t xml:space="preserve">asserted facts that, </w:t>
      </w:r>
      <w:r>
        <w:t xml:space="preserve">even </w:t>
      </w:r>
      <w:r w:rsidRPr="00D36BCD">
        <w:t xml:space="preserve">if proven, would </w:t>
      </w:r>
      <w:r>
        <w:t xml:space="preserve">not </w:t>
      </w:r>
      <w:r w:rsidRPr="00D36BCD">
        <w:t>substantiate the claim</w:t>
      </w:r>
      <w:r>
        <w:t xml:space="preserve">. And a defendant’s allegation that a different prosecutor in a different charging jurisdiction decided not to charge two individuals of a different race for the same offense that the defendant was charged with is not sufficient to substantiate an unconstitutional selective prosecution </w:t>
      </w:r>
      <w:r w:rsidRPr="00D36BCD">
        <w:t>claim</w:t>
      </w:r>
      <w:r>
        <w:t>.</w:t>
      </w:r>
    </w:p>
    <w:p w:rsidR="000624C4" w:rsidRDefault="000624C4" w:rsidP="000624C4"/>
    <w:p w:rsidR="002A2E97" w:rsidRDefault="002A2E97" w:rsidP="004263F8">
      <w:pPr>
        <w:suppressAutoHyphens w:val="0"/>
        <w:jc w:val="left"/>
      </w:pPr>
    </w:p>
    <w:p w:rsidR="003A2140" w:rsidRDefault="003A2140" w:rsidP="004263F8">
      <w:pPr>
        <w:suppressAutoHyphens w:val="0"/>
        <w:jc w:val="left"/>
      </w:pPr>
      <w:r>
        <w:rPr>
          <w:b/>
          <w:u w:val="single"/>
        </w:rPr>
        <w:t xml:space="preserve">Search </w:t>
      </w:r>
      <w:r w:rsidR="00BD66D8">
        <w:rPr>
          <w:b/>
          <w:u w:val="single"/>
        </w:rPr>
        <w:t xml:space="preserve">&amp; </w:t>
      </w:r>
      <w:r>
        <w:rPr>
          <w:b/>
          <w:u w:val="single"/>
        </w:rPr>
        <w:t>Seizure</w:t>
      </w:r>
    </w:p>
    <w:p w:rsidR="003A2140" w:rsidRDefault="003A2140" w:rsidP="004263F8">
      <w:pPr>
        <w:suppressAutoHyphens w:val="0"/>
        <w:jc w:val="left"/>
      </w:pPr>
    </w:p>
    <w:p w:rsidR="000624C4" w:rsidRPr="00B40B7E" w:rsidRDefault="000624C4" w:rsidP="000624C4">
      <w:pPr>
        <w:pStyle w:val="FootnoteText"/>
        <w:rPr>
          <w:b/>
          <w:szCs w:val="24"/>
        </w:rPr>
      </w:pPr>
      <w:r w:rsidRPr="00B40B7E">
        <w:rPr>
          <w:b/>
          <w:i/>
          <w:szCs w:val="24"/>
        </w:rPr>
        <w:t>State v. Cox</w:t>
      </w:r>
      <w:r w:rsidRPr="00B40B7E">
        <w:rPr>
          <w:b/>
          <w:szCs w:val="24"/>
        </w:rPr>
        <w:t>, 807 N.W.2d 447 (Minn. App. Nov. 28, 2011) (A11-0386).</w:t>
      </w:r>
    </w:p>
    <w:p w:rsidR="000624C4" w:rsidRDefault="000624C4" w:rsidP="000624C4">
      <w:pPr>
        <w:pStyle w:val="Heading1"/>
        <w:keepNext w:val="0"/>
        <w:rPr>
          <w:b w:val="0"/>
        </w:rPr>
      </w:pPr>
      <w:r>
        <w:rPr>
          <w:b w:val="0"/>
          <w:szCs w:val="26"/>
        </w:rPr>
        <w:tab/>
      </w:r>
      <w:r>
        <w:rPr>
          <w:b w:val="0"/>
        </w:rPr>
        <w:t>Information from a law-enforcement mobile computer showing that a vehicle’s registration has expired constitutes an objectively reasonable basis for an officer to stop a vehicle to investigate whether the vehicle’s current license-plate tabs are stolen.</w:t>
      </w:r>
    </w:p>
    <w:p w:rsidR="000624C4" w:rsidRDefault="000624C4" w:rsidP="000624C4"/>
    <w:p w:rsidR="001E4987" w:rsidRPr="00B40B7E" w:rsidRDefault="008E33CC" w:rsidP="003D142A">
      <w:pPr>
        <w:suppressAutoHyphens w:val="0"/>
        <w:rPr>
          <w:b/>
        </w:rPr>
      </w:pPr>
      <w:r w:rsidRPr="00B40B7E">
        <w:rPr>
          <w:b/>
          <w:i/>
        </w:rPr>
        <w:t>State v. Heaton</w:t>
      </w:r>
      <w:r w:rsidRPr="00B40B7E">
        <w:rPr>
          <w:b/>
        </w:rPr>
        <w:t xml:space="preserve">, 812 N.W.2d 904 (Minn. App. May 7, 2012), </w:t>
      </w:r>
      <w:r w:rsidRPr="00B40B7E">
        <w:rPr>
          <w:b/>
          <w:i/>
        </w:rPr>
        <w:t>review denied</w:t>
      </w:r>
      <w:r w:rsidRPr="00B40B7E">
        <w:rPr>
          <w:b/>
        </w:rPr>
        <w:t xml:space="preserve"> (Minn. July 17, 2012) (A11-</w:t>
      </w:r>
      <w:r w:rsidR="0094600C" w:rsidRPr="00B40B7E">
        <w:rPr>
          <w:b/>
        </w:rPr>
        <w:t>0</w:t>
      </w:r>
      <w:r w:rsidRPr="00B40B7E">
        <w:rPr>
          <w:b/>
        </w:rPr>
        <w:t>659).</w:t>
      </w:r>
    </w:p>
    <w:p w:rsidR="00D508BD" w:rsidRPr="008E33CC" w:rsidRDefault="00D508BD" w:rsidP="003D142A">
      <w:pPr>
        <w:suppressAutoHyphens w:val="0"/>
      </w:pPr>
      <w:r>
        <w:tab/>
        <w:t>No more than reasonable suspicion is required to search a parolee’s home when the search is conducted pursuant to a valid parole condition.</w:t>
      </w:r>
    </w:p>
    <w:p w:rsidR="003F0508" w:rsidRDefault="003F0508" w:rsidP="003F0508">
      <w:pPr>
        <w:rPr>
          <w:i/>
        </w:rPr>
      </w:pPr>
    </w:p>
    <w:p w:rsidR="000624C4" w:rsidRPr="00B40B7E" w:rsidRDefault="000624C4" w:rsidP="000624C4">
      <w:pPr>
        <w:spacing w:before="60"/>
        <w:rPr>
          <w:b/>
          <w:i/>
        </w:rPr>
      </w:pPr>
      <w:r w:rsidRPr="00B40B7E">
        <w:rPr>
          <w:b/>
          <w:i/>
        </w:rPr>
        <w:t>State v. Yang</w:t>
      </w:r>
      <w:r w:rsidRPr="00B40B7E">
        <w:rPr>
          <w:b/>
        </w:rPr>
        <w:t>, 814 N.W.2d 716 (Minn. App. June 18, 2012) (A11-1008).</w:t>
      </w:r>
    </w:p>
    <w:p w:rsidR="000624C4" w:rsidRDefault="000624C4" w:rsidP="000624C4">
      <w:r>
        <w:tab/>
        <w:t>Because the Minnesota handgun statute that prohibits a person from carrying a handgun “in a public place” defines “public place” only as government land or as private land that is clearly dedicated to the public for public use, police officers do not have reasonable suspicion to detain a man merely on a report that he possesses a gun at a private residence and on their finding him walking from that residence into its front yard.</w:t>
      </w:r>
    </w:p>
    <w:p w:rsidR="000624C4" w:rsidRDefault="000624C4" w:rsidP="000624C4"/>
    <w:p w:rsidR="003F0508" w:rsidRPr="001443AD" w:rsidRDefault="003F0508" w:rsidP="003F0508">
      <w:pPr>
        <w:rPr>
          <w:b/>
        </w:rPr>
      </w:pPr>
      <w:r w:rsidRPr="001443AD">
        <w:rPr>
          <w:b/>
          <w:i/>
        </w:rPr>
        <w:t>State v. Barajas</w:t>
      </w:r>
      <w:r w:rsidRPr="001443AD">
        <w:rPr>
          <w:b/>
        </w:rPr>
        <w:t xml:space="preserve">, 817 N.W.2d 204 (Minn. App. July 23, 2012), </w:t>
      </w:r>
      <w:r w:rsidRPr="001443AD">
        <w:rPr>
          <w:b/>
          <w:i/>
        </w:rPr>
        <w:t xml:space="preserve">review denied </w:t>
      </w:r>
      <w:r w:rsidRPr="001443AD">
        <w:rPr>
          <w:b/>
        </w:rPr>
        <w:t>(Minn. Oct. 16, 2012) (A11-0983).</w:t>
      </w:r>
    </w:p>
    <w:p w:rsidR="003F0508" w:rsidRDefault="003F0508" w:rsidP="003F0508">
      <w:pPr>
        <w:ind w:firstLine="720"/>
      </w:pPr>
      <w:r w:rsidRPr="00DB5F6E">
        <w:t>Because a person has a reasonable expectation of privacy in the concealed contents of a cellular telephone, a search of the contents by the police is constitutionally unreasonable unless the police obtain a warrant or demonstrate the existence of a recognized exception to the warrant requirement.</w:t>
      </w:r>
      <w:r>
        <w:t xml:space="preserve">  </w:t>
      </w:r>
    </w:p>
    <w:p w:rsidR="00B57F9F" w:rsidRDefault="00B57F9F" w:rsidP="003F0508">
      <w:pPr>
        <w:ind w:firstLine="720"/>
      </w:pPr>
    </w:p>
    <w:p w:rsidR="00D532CF" w:rsidRDefault="00D532CF" w:rsidP="003F0508">
      <w:pPr>
        <w:ind w:firstLine="720"/>
      </w:pPr>
    </w:p>
    <w:p w:rsidR="00D532CF" w:rsidRDefault="00D532CF" w:rsidP="003F0508">
      <w:pPr>
        <w:ind w:firstLine="720"/>
      </w:pPr>
    </w:p>
    <w:p w:rsidR="00B57F9F" w:rsidRPr="001443AD" w:rsidRDefault="00B57F9F" w:rsidP="00B57F9F">
      <w:pPr>
        <w:suppressAutoHyphens w:val="0"/>
        <w:contextualSpacing/>
        <w:rPr>
          <w:rFonts w:eastAsia="Calibri"/>
          <w:b/>
          <w:szCs w:val="26"/>
        </w:rPr>
      </w:pPr>
      <w:r w:rsidRPr="001443AD">
        <w:rPr>
          <w:rFonts w:eastAsia="Calibri"/>
          <w:b/>
          <w:i/>
          <w:szCs w:val="26"/>
        </w:rPr>
        <w:lastRenderedPageBreak/>
        <w:t>Sarber v. Comm’r of Pub. Safety</w:t>
      </w:r>
      <w:r w:rsidRPr="001443AD">
        <w:rPr>
          <w:rFonts w:eastAsia="Calibri"/>
          <w:b/>
          <w:szCs w:val="26"/>
        </w:rPr>
        <w:t>, 819 N.W.2d 465 (Minn. App. Aug. 27, 2012) (A12-0110).</w:t>
      </w:r>
    </w:p>
    <w:p w:rsidR="00B57F9F" w:rsidRPr="008F1556" w:rsidRDefault="00B57F9F" w:rsidP="00B57F9F">
      <w:pPr>
        <w:suppressAutoHyphens w:val="0"/>
        <w:contextualSpacing/>
        <w:rPr>
          <w:rFonts w:eastAsia="Calibri"/>
          <w:szCs w:val="26"/>
        </w:rPr>
      </w:pPr>
      <w:r w:rsidRPr="008F1556">
        <w:rPr>
          <w:rFonts w:eastAsia="Calibri"/>
          <w:szCs w:val="26"/>
        </w:rPr>
        <w:tab/>
      </w:r>
      <w:r w:rsidRPr="008F1556">
        <w:rPr>
          <w:rFonts w:eastAsia="Calibri"/>
          <w:color w:val="252525"/>
          <w:szCs w:val="26"/>
        </w:rPr>
        <w:t>A driver’s conduct in twice flashing the high-beam headlights of his vehicle at oncoming traffic is not an objective basis for an investigatory traffic stop when the record contains no evidence that the headlights projected “glaring rays . . . into the eyes of the oncoming driver” in a manner that blinded, impaired, or distracted another driver.  Minn. Stat. § 169.61(b) (2010).</w:t>
      </w:r>
    </w:p>
    <w:p w:rsidR="000B5EF2" w:rsidRDefault="000B5EF2" w:rsidP="003D142A">
      <w:pPr>
        <w:suppressAutoHyphens w:val="0"/>
        <w:rPr>
          <w:b/>
          <w:u w:val="single"/>
        </w:rPr>
      </w:pPr>
    </w:p>
    <w:p w:rsidR="008B6634" w:rsidRDefault="008B6634" w:rsidP="003D142A">
      <w:pPr>
        <w:suppressAutoHyphens w:val="0"/>
        <w:rPr>
          <w:b/>
          <w:u w:val="single"/>
        </w:rPr>
      </w:pPr>
    </w:p>
    <w:p w:rsidR="004263F8" w:rsidRPr="00897F6D" w:rsidRDefault="004263F8" w:rsidP="004263F8">
      <w:pPr>
        <w:rPr>
          <w:b/>
          <w:u w:val="single"/>
        </w:rPr>
      </w:pPr>
      <w:r>
        <w:rPr>
          <w:b/>
          <w:u w:val="single"/>
        </w:rPr>
        <w:t>Sentencing</w:t>
      </w:r>
    </w:p>
    <w:p w:rsidR="004263F8" w:rsidRDefault="004263F8" w:rsidP="004263F8"/>
    <w:p w:rsidR="0013742D" w:rsidRPr="001443AD" w:rsidRDefault="0013742D" w:rsidP="0013742D">
      <w:pPr>
        <w:jc w:val="left"/>
        <w:rPr>
          <w:b/>
        </w:rPr>
      </w:pPr>
      <w:r w:rsidRPr="001443AD">
        <w:rPr>
          <w:b/>
          <w:i/>
        </w:rPr>
        <w:t>State v. Moody</w:t>
      </w:r>
      <w:r w:rsidRPr="001443AD">
        <w:rPr>
          <w:b/>
        </w:rPr>
        <w:t xml:space="preserve">, 806 N.W.2d 874 (Minn. App. Dec. 12, 2011), </w:t>
      </w:r>
      <w:r w:rsidRPr="001443AD">
        <w:rPr>
          <w:b/>
          <w:i/>
        </w:rPr>
        <w:t>review denied</w:t>
      </w:r>
      <w:r w:rsidRPr="001443AD">
        <w:rPr>
          <w:b/>
        </w:rPr>
        <w:t xml:space="preserve"> (Minn. Mar. 28, 2012) (A11-0773).</w:t>
      </w:r>
    </w:p>
    <w:p w:rsidR="0013742D" w:rsidRDefault="0013742D" w:rsidP="0013742D">
      <w:pPr>
        <w:pStyle w:val="Heading1"/>
        <w:keepNext w:val="0"/>
        <w:rPr>
          <w:b w:val="0"/>
          <w:szCs w:val="26"/>
        </w:rPr>
      </w:pPr>
      <w:r>
        <w:rPr>
          <w:b w:val="0"/>
          <w:szCs w:val="26"/>
        </w:rPr>
        <w:tab/>
        <w:t>When a defendant pleads guilty pursuant to an agreement under which the state agrees to limit its jail recommendation and defendant consents to a stay of adjudication pursuant to Minn. Stat. § 152.18 (2008), a district court may impose jail time as a reasonable condition of the stay.</w:t>
      </w:r>
    </w:p>
    <w:p w:rsidR="0013742D" w:rsidRDefault="0013742D" w:rsidP="0013742D"/>
    <w:p w:rsidR="00EE52E5" w:rsidRPr="001443AD" w:rsidRDefault="00EE52E5" w:rsidP="00EE52E5">
      <w:pPr>
        <w:tabs>
          <w:tab w:val="left" w:pos="720"/>
        </w:tabs>
        <w:suppressAutoHyphens w:val="0"/>
        <w:rPr>
          <w:b/>
        </w:rPr>
      </w:pPr>
      <w:r w:rsidRPr="001443AD">
        <w:rPr>
          <w:b/>
          <w:i/>
        </w:rPr>
        <w:t>State v. Robideau</w:t>
      </w:r>
      <w:r w:rsidRPr="001443AD">
        <w:rPr>
          <w:b/>
        </w:rPr>
        <w:t xml:space="preserve">, 817 N.W.2d 180 (Minn. App. June 25, 2012), </w:t>
      </w:r>
      <w:r w:rsidRPr="001443AD">
        <w:rPr>
          <w:b/>
          <w:i/>
        </w:rPr>
        <w:t xml:space="preserve">review denied </w:t>
      </w:r>
      <w:r w:rsidRPr="001443AD">
        <w:rPr>
          <w:b/>
        </w:rPr>
        <w:t>(Minn. Sept. 25, 2012) (A11-2135).</w:t>
      </w:r>
    </w:p>
    <w:p w:rsidR="00EE52E5" w:rsidRPr="003A2E79" w:rsidRDefault="00EE52E5" w:rsidP="00EE52E5">
      <w:pPr>
        <w:autoSpaceDE w:val="0"/>
        <w:autoSpaceDN w:val="0"/>
        <w:adjustRightInd w:val="0"/>
        <w:ind w:firstLine="720"/>
        <w:rPr>
          <w:szCs w:val="26"/>
        </w:rPr>
      </w:pPr>
      <w:r w:rsidRPr="003A2E79">
        <w:rPr>
          <w:szCs w:val="26"/>
        </w:rPr>
        <w:t>Intentionally leaving the body of a murder victim to be discovered by the minor</w:t>
      </w:r>
      <w:r>
        <w:rPr>
          <w:szCs w:val="26"/>
        </w:rPr>
        <w:t xml:space="preserve"> </w:t>
      </w:r>
      <w:r w:rsidRPr="003A2E79">
        <w:rPr>
          <w:szCs w:val="26"/>
        </w:rPr>
        <w:t>child of the victim justifies an upward durational departure from the presumptive</w:t>
      </w:r>
      <w:r>
        <w:rPr>
          <w:szCs w:val="26"/>
        </w:rPr>
        <w:t xml:space="preserve"> </w:t>
      </w:r>
      <w:r w:rsidRPr="003A2E79">
        <w:rPr>
          <w:szCs w:val="26"/>
        </w:rPr>
        <w:t>sentence under the sentencing guidelines.</w:t>
      </w:r>
    </w:p>
    <w:p w:rsidR="00EE52E5" w:rsidRDefault="00EE52E5" w:rsidP="0013742D"/>
    <w:p w:rsidR="00A20BC9" w:rsidRPr="001443AD" w:rsidRDefault="00A20BC9" w:rsidP="00A20BC9">
      <w:pPr>
        <w:jc w:val="left"/>
        <w:rPr>
          <w:b/>
        </w:rPr>
      </w:pPr>
      <w:r w:rsidRPr="001443AD">
        <w:rPr>
          <w:b/>
          <w:i/>
        </w:rPr>
        <w:t>Johnson v. State</w:t>
      </w:r>
      <w:r w:rsidRPr="001443AD">
        <w:rPr>
          <w:b/>
        </w:rPr>
        <w:t>, 820 N.W.2d 24 (Minn. App. Aug. 27, 2012) (A11-2226).</w:t>
      </w:r>
    </w:p>
    <w:p w:rsidR="00A20BC9" w:rsidRDefault="00A20BC9" w:rsidP="00A20BC9">
      <w:pPr>
        <w:ind w:firstLine="720"/>
        <w:outlineLvl w:val="0"/>
      </w:pPr>
      <w:r>
        <w:t xml:space="preserve">A person confined in a private correctional facility is not an “inmate of a state correctional facility” subject to mandatory consecutive sentencing pursuant to </w:t>
      </w:r>
      <w:r w:rsidRPr="00A347CD">
        <w:t>Minn. Stat. § 609.2232 (2006)</w:t>
      </w:r>
      <w:r>
        <w:t>.</w:t>
      </w:r>
    </w:p>
    <w:p w:rsidR="00D532CF" w:rsidRDefault="00D532CF" w:rsidP="00A20BC9">
      <w:pPr>
        <w:ind w:firstLine="720"/>
        <w:outlineLvl w:val="0"/>
      </w:pPr>
    </w:p>
    <w:p w:rsidR="00D532CF" w:rsidRPr="00516B7D" w:rsidRDefault="00D532CF" w:rsidP="00A20BC9">
      <w:pPr>
        <w:ind w:firstLine="720"/>
        <w:outlineLvl w:val="0"/>
        <w:rPr>
          <w:b/>
          <w:snapToGrid w:val="0"/>
        </w:rPr>
      </w:pPr>
    </w:p>
    <w:p w:rsidR="004263F8" w:rsidRPr="003A0954" w:rsidRDefault="004263F8" w:rsidP="003A0954">
      <w:r>
        <w:rPr>
          <w:b/>
          <w:u w:val="single"/>
        </w:rPr>
        <w:t>Substantive Criminal Law</w:t>
      </w:r>
    </w:p>
    <w:p w:rsidR="003D4020" w:rsidRDefault="003D4020" w:rsidP="00C95551"/>
    <w:p w:rsidR="00E65D4C" w:rsidRPr="001443AD" w:rsidRDefault="00E65D4C" w:rsidP="00E65D4C">
      <w:pPr>
        <w:widowControl w:val="0"/>
        <w:rPr>
          <w:b/>
        </w:rPr>
      </w:pPr>
      <w:r w:rsidRPr="001443AD">
        <w:rPr>
          <w:b/>
          <w:i/>
        </w:rPr>
        <w:t>State v. Hormann</w:t>
      </w:r>
      <w:r w:rsidRPr="001443AD">
        <w:rPr>
          <w:b/>
        </w:rPr>
        <w:t xml:space="preserve">, 805 N.W.2d 883 (Minn. App. Oct. 19, 2011), </w:t>
      </w:r>
      <w:r w:rsidRPr="001443AD">
        <w:rPr>
          <w:b/>
          <w:i/>
        </w:rPr>
        <w:t>review denied</w:t>
      </w:r>
      <w:r w:rsidRPr="001443AD">
        <w:rPr>
          <w:b/>
        </w:rPr>
        <w:t xml:space="preserve"> (Minn. Jan. 17, 2012) (A10-1872).</w:t>
      </w:r>
    </w:p>
    <w:p w:rsidR="00E65D4C" w:rsidRDefault="00E65D4C" w:rsidP="00E65D4C">
      <w:pPr>
        <w:pStyle w:val="Default"/>
        <w:jc w:val="both"/>
      </w:pPr>
      <w:r>
        <w:rPr>
          <w:sz w:val="26"/>
          <w:szCs w:val="26"/>
        </w:rPr>
        <w:tab/>
        <w:t>A person with a presumptive marital-property interest and unfiled title interest in a motor vehicle may not be criminally prosecuted under Minn. Stat. § 626A.35, subd. 1 (2008) for installing a tracking device on that vehicle.</w:t>
      </w:r>
    </w:p>
    <w:p w:rsidR="00E65D4C" w:rsidRDefault="00E65D4C" w:rsidP="00E65D4C">
      <w:pPr>
        <w:rPr>
          <w:i/>
        </w:rPr>
      </w:pPr>
    </w:p>
    <w:p w:rsidR="00D532CF" w:rsidRDefault="00D532CF" w:rsidP="00E65D4C">
      <w:pPr>
        <w:rPr>
          <w:i/>
        </w:rPr>
      </w:pPr>
    </w:p>
    <w:p w:rsidR="00D532CF" w:rsidRDefault="00D532CF" w:rsidP="00E65D4C">
      <w:pPr>
        <w:rPr>
          <w:i/>
        </w:rPr>
      </w:pPr>
    </w:p>
    <w:p w:rsidR="00D37E70" w:rsidRPr="001443AD" w:rsidRDefault="00D37E70" w:rsidP="00D37E70">
      <w:pPr>
        <w:rPr>
          <w:b/>
        </w:rPr>
      </w:pPr>
      <w:r w:rsidRPr="001443AD">
        <w:rPr>
          <w:b/>
          <w:i/>
        </w:rPr>
        <w:lastRenderedPageBreak/>
        <w:t>Anderson v. State</w:t>
      </w:r>
      <w:r w:rsidRPr="001443AD">
        <w:rPr>
          <w:b/>
        </w:rPr>
        <w:t xml:space="preserve">, 806 N.W.2d 856 (Minn. App. Oct. 24, 2011), </w:t>
      </w:r>
      <w:r w:rsidRPr="001443AD">
        <w:rPr>
          <w:b/>
          <w:i/>
        </w:rPr>
        <w:t>review denied</w:t>
      </w:r>
      <w:r w:rsidRPr="001443AD">
        <w:rPr>
          <w:b/>
        </w:rPr>
        <w:t xml:space="preserve"> (Minn. Jan. 17, 2012) (A11-0330).</w:t>
      </w:r>
    </w:p>
    <w:p w:rsidR="00D37E70" w:rsidRDefault="00D37E70" w:rsidP="00D37E70">
      <w:pPr>
        <w:tabs>
          <w:tab w:val="left" w:pos="720"/>
        </w:tabs>
      </w:pPr>
      <w:r>
        <w:tab/>
        <w:t>Second-degree burglary requires proof that a person entered the dwelling of another without consent, and committed a crime or intended to commit a crime while in the dwelling.  The crime of fleeing a police officer in a motor vehicle is a sufficient independent crime for the purpose of establishing the offense of second-degree burglary, when the offender enters the dwelling place of another without consent in order to evade police.</w:t>
      </w:r>
    </w:p>
    <w:p w:rsidR="00D37E70" w:rsidRDefault="00D37E70" w:rsidP="00D37E70">
      <w:pPr>
        <w:keepNext/>
        <w:rPr>
          <w:i/>
        </w:rPr>
      </w:pPr>
    </w:p>
    <w:p w:rsidR="00D37E70" w:rsidRPr="001443AD" w:rsidRDefault="00D37E70" w:rsidP="00D37E70">
      <w:pPr>
        <w:keepNext/>
        <w:rPr>
          <w:b/>
        </w:rPr>
      </w:pPr>
      <w:r w:rsidRPr="001443AD">
        <w:rPr>
          <w:b/>
          <w:i/>
        </w:rPr>
        <w:t>State v. Hansen</w:t>
      </w:r>
      <w:r w:rsidRPr="001443AD">
        <w:rPr>
          <w:b/>
        </w:rPr>
        <w:t>, 805 N.W.2d 915 (Minn. App. Nov. 21, 2011) (A11-0546).</w:t>
      </w:r>
    </w:p>
    <w:p w:rsidR="00D37E70" w:rsidRDefault="00D37E70" w:rsidP="00D37E70">
      <w:pPr>
        <w:ind w:firstLine="720"/>
      </w:pPr>
      <w:r w:rsidRPr="001D3872">
        <w:t>Minn. Stat. § 97B.328 (2010), which prohibits a hunter from using bait to hunt deer, does not prohibit a vegetable farmer, who has a normal and accepted agricultural practice of transporting discarded vegetables to a fallow field for use as fertilizer, from hunting within range of the discarded vegetables.</w:t>
      </w:r>
    </w:p>
    <w:p w:rsidR="00D37E70" w:rsidRDefault="00D37E70" w:rsidP="00E65D4C">
      <w:pPr>
        <w:suppressAutoHyphens w:val="0"/>
        <w:rPr>
          <w:i/>
        </w:rPr>
      </w:pPr>
    </w:p>
    <w:p w:rsidR="00E65D4C" w:rsidRPr="001443AD" w:rsidRDefault="00E65D4C" w:rsidP="00E65D4C">
      <w:pPr>
        <w:suppressAutoHyphens w:val="0"/>
        <w:rPr>
          <w:b/>
        </w:rPr>
      </w:pPr>
      <w:r w:rsidRPr="001443AD">
        <w:rPr>
          <w:b/>
          <w:i/>
        </w:rPr>
        <w:t>State v. Nelson</w:t>
      </w:r>
      <w:r w:rsidRPr="001443AD">
        <w:rPr>
          <w:b/>
        </w:rPr>
        <w:t xml:space="preserve">, 806 N.W.2d 558 (Minn. App. Nov. 21, 2011), </w:t>
      </w:r>
      <w:r w:rsidRPr="001443AD">
        <w:rPr>
          <w:b/>
          <w:i/>
        </w:rPr>
        <w:t>review denied</w:t>
      </w:r>
      <w:r w:rsidRPr="001443AD">
        <w:rPr>
          <w:b/>
        </w:rPr>
        <w:t xml:space="preserve"> (Minn. Feb. 14, 2012) (A10-1127).</w:t>
      </w:r>
    </w:p>
    <w:p w:rsidR="00E65D4C" w:rsidRDefault="00E65D4C" w:rsidP="00E65D4C">
      <w:pPr>
        <w:tabs>
          <w:tab w:val="left" w:pos="720"/>
          <w:tab w:val="left" w:pos="1440"/>
        </w:tabs>
        <w:suppressAutoHyphens w:val="0"/>
      </w:pPr>
      <w:r>
        <w:tab/>
        <w:t>1.</w:t>
      </w:r>
      <w:r>
        <w:tab/>
        <w:t>In a criminal vehicular homicide case in which the negligent conduct of two motor vehicle drivers intertwines to cause the death of one driver, the district court abuses its discretion by excludin</w:t>
      </w:r>
      <w:r w:rsidR="00974554">
        <w:t>g evidence of the victim driver’</w:t>
      </w:r>
      <w:r>
        <w:t>s alcohol consumption while admitting e</w:t>
      </w:r>
      <w:r w:rsidR="00974554">
        <w:t>vidence of the defendant driver’</w:t>
      </w:r>
      <w:r>
        <w:t>s alcohol consumption.</w:t>
      </w:r>
    </w:p>
    <w:p w:rsidR="00E65D4C" w:rsidRDefault="00E65D4C" w:rsidP="00E65D4C">
      <w:pPr>
        <w:tabs>
          <w:tab w:val="left" w:pos="720"/>
          <w:tab w:val="left" w:pos="1440"/>
        </w:tabs>
        <w:suppressAutoHyphens w:val="0"/>
      </w:pPr>
      <w:r>
        <w:tab/>
        <w:t>2.</w:t>
      </w:r>
      <w:r>
        <w:tab/>
        <w:t>When the intertwined negligent conduct of two motor vehicle drivers results in charges of criminal vehicular homicide being brought against</w:t>
      </w:r>
      <w:r w:rsidR="00974554">
        <w:t xml:space="preserve"> one driver, the district court’</w:t>
      </w:r>
      <w:r>
        <w:t>s jury instruction must define causation to inform the jury that a guilty verdict requ</w:t>
      </w:r>
      <w:r w:rsidR="00974554">
        <w:t>ires that the defendant driver’s</w:t>
      </w:r>
      <w:r>
        <w:t xml:space="preserve"> conduct must have played a substantial part in bringing about the death or injury of the victim driver.</w:t>
      </w:r>
    </w:p>
    <w:p w:rsidR="00E65D4C" w:rsidRPr="00CB139B" w:rsidRDefault="00E65D4C" w:rsidP="00E65D4C">
      <w:pPr>
        <w:pStyle w:val="FootnoteText"/>
        <w:tabs>
          <w:tab w:val="left" w:pos="720"/>
          <w:tab w:val="left" w:pos="1440"/>
          <w:tab w:val="left" w:pos="2160"/>
        </w:tabs>
        <w:rPr>
          <w:szCs w:val="26"/>
        </w:rPr>
      </w:pPr>
    </w:p>
    <w:p w:rsidR="00D37E70" w:rsidRPr="001443AD" w:rsidRDefault="00D37E70" w:rsidP="00D37E70">
      <w:pPr>
        <w:contextualSpacing/>
        <w:rPr>
          <w:b/>
          <w:szCs w:val="26"/>
        </w:rPr>
      </w:pPr>
      <w:r w:rsidRPr="001443AD">
        <w:rPr>
          <w:b/>
          <w:i/>
          <w:szCs w:val="26"/>
        </w:rPr>
        <w:t>State v. Pegelow</w:t>
      </w:r>
      <w:r w:rsidRPr="001443AD">
        <w:rPr>
          <w:b/>
          <w:szCs w:val="26"/>
        </w:rPr>
        <w:t>, 809 N.W.2d 245 (Minn. App. Jan. 9, 2012) (A11-0085).</w:t>
      </w:r>
    </w:p>
    <w:p w:rsidR="00D37E70" w:rsidRPr="00EC26C9" w:rsidRDefault="00D37E70" w:rsidP="00D37E70">
      <w:pPr>
        <w:contextualSpacing/>
        <w:rPr>
          <w:szCs w:val="26"/>
        </w:rPr>
      </w:pPr>
      <w:r>
        <w:rPr>
          <w:szCs w:val="26"/>
        </w:rPr>
        <w:tab/>
        <w:t>Under Minn. Stat. § 609.749, subd. 2(a)(1) (2008)</w:t>
      </w:r>
      <w:r w:rsidRPr="001A3524">
        <w:rPr>
          <w:szCs w:val="26"/>
        </w:rPr>
        <w:t>,</w:t>
      </w:r>
      <w:r>
        <w:rPr>
          <w:szCs w:val="26"/>
        </w:rPr>
        <w:t xml:space="preserve"> evidence that a defendant’s conduct meets the definition of harass in Minn. Stat. § 609.749, subd. 1 (2008), is insufficient to support a conviction of gross-misdemeanor harassment absent evidence that the defendant manifested a purpose or intent to injure another’s person, property, or rights by the commission of an act that is unlawful independent of section 609.749. </w:t>
      </w:r>
    </w:p>
    <w:p w:rsidR="00D37E70" w:rsidRDefault="00D37E70" w:rsidP="00D37E70">
      <w:pPr>
        <w:contextualSpacing/>
        <w:rPr>
          <w:szCs w:val="26"/>
        </w:rPr>
      </w:pPr>
    </w:p>
    <w:p w:rsidR="00D37E70" w:rsidRPr="001443AD" w:rsidRDefault="00D37E70" w:rsidP="00D37E70">
      <w:pPr>
        <w:tabs>
          <w:tab w:val="left" w:pos="720"/>
        </w:tabs>
        <w:rPr>
          <w:b/>
        </w:rPr>
      </w:pPr>
      <w:r w:rsidRPr="001443AD">
        <w:rPr>
          <w:b/>
          <w:i/>
        </w:rPr>
        <w:t>State v. Fitman</w:t>
      </w:r>
      <w:r w:rsidRPr="001443AD">
        <w:rPr>
          <w:b/>
        </w:rPr>
        <w:t>, 811 N.W.2d 120 (Minn. App. Jan. 23, 2012) (A11-0406).</w:t>
      </w:r>
    </w:p>
    <w:p w:rsidR="00D37E70" w:rsidRDefault="00D37E70" w:rsidP="00D37E70">
      <w:pPr>
        <w:tabs>
          <w:tab w:val="left" w:pos="720"/>
        </w:tabs>
      </w:pPr>
      <w:r>
        <w:tab/>
        <w:t>To convict a defendant for intentionally concealing a minor child from a person having the right to parenting time or custody under Minn. Stat. § 609.26, subd. 1(1) (2008), the state must prove that the child’s whereabouts were unknown to and withheld from the person with the right to parenting time or custody and that the defendant hid the child to prevent that person from locating or contacting the child.</w:t>
      </w:r>
    </w:p>
    <w:p w:rsidR="00D37E70" w:rsidRDefault="00D37E70" w:rsidP="00D37E70">
      <w:pPr>
        <w:widowControl w:val="0"/>
        <w:rPr>
          <w:i/>
        </w:rPr>
      </w:pPr>
    </w:p>
    <w:p w:rsidR="00D37E70" w:rsidRPr="001443AD" w:rsidRDefault="00D37E70" w:rsidP="00D37E70">
      <w:pPr>
        <w:widowControl w:val="0"/>
        <w:rPr>
          <w:b/>
        </w:rPr>
      </w:pPr>
      <w:r w:rsidRPr="001443AD">
        <w:rPr>
          <w:b/>
          <w:i/>
        </w:rPr>
        <w:lastRenderedPageBreak/>
        <w:t>State v. Gunderson</w:t>
      </w:r>
      <w:r w:rsidRPr="001443AD">
        <w:rPr>
          <w:b/>
        </w:rPr>
        <w:t>, 812 N.W.2d 156 (Minn. App. Feb. 6, 2012) (A11-0090).</w:t>
      </w:r>
    </w:p>
    <w:p w:rsidR="00D37E70" w:rsidRPr="000450C0" w:rsidRDefault="00D37E70" w:rsidP="00D37E70">
      <w:pPr>
        <w:rPr>
          <w:szCs w:val="26"/>
        </w:rPr>
      </w:pPr>
      <w:r>
        <w:rPr>
          <w:szCs w:val="26"/>
        </w:rPr>
        <w:tab/>
      </w:r>
      <w:r w:rsidRPr="000450C0">
        <w:rPr>
          <w:szCs w:val="26"/>
        </w:rPr>
        <w:t>To be convicted of a felony for violating a harassment restraining order under Minn. Stat. § 609.748, subd. 6(d) (2008), the defendant must have intentionally engaged in prohibited conduct, knowing that such conduct was prohibited.</w:t>
      </w:r>
    </w:p>
    <w:p w:rsidR="00D37E70" w:rsidRDefault="00D37E70" w:rsidP="00DF60F6">
      <w:pPr>
        <w:rPr>
          <w:i/>
        </w:rPr>
      </w:pPr>
    </w:p>
    <w:p w:rsidR="00DF60F6" w:rsidRPr="001443AD" w:rsidRDefault="00DF60F6" w:rsidP="00DF60F6">
      <w:pPr>
        <w:rPr>
          <w:b/>
        </w:rPr>
      </w:pPr>
      <w:r w:rsidRPr="001443AD">
        <w:rPr>
          <w:b/>
          <w:i/>
        </w:rPr>
        <w:t>State v. Nelson</w:t>
      </w:r>
      <w:r w:rsidRPr="001443AD">
        <w:rPr>
          <w:b/>
        </w:rPr>
        <w:t>, 812 N.W.2d 184 (Minn. App. Mar. 12, 2012) (A11-0294).</w:t>
      </w:r>
    </w:p>
    <w:p w:rsidR="00DF60F6" w:rsidRDefault="00DF60F6" w:rsidP="00DF60F6">
      <w:pPr>
        <w:ind w:firstLine="720"/>
      </w:pPr>
      <w:r>
        <w:t>The evidence is insufficient to sustain appellant’s conviction of failing to register as a predatory offender pursuant to Minn. Stat. § 243.166, subd. </w:t>
      </w:r>
      <w:r w:rsidRPr="000B1024">
        <w:t>3(b)</w:t>
      </w:r>
      <w:r>
        <w:t xml:space="preserve"> (2008), because the state failed to prove beyond a reasonable doubt that appellant no longer was living at his registered primary address or that he had begun living at a new primary address.</w:t>
      </w:r>
    </w:p>
    <w:p w:rsidR="00DF60F6" w:rsidRDefault="00DF60F6" w:rsidP="00DF60F6">
      <w:pPr>
        <w:ind w:firstLine="720"/>
      </w:pPr>
    </w:p>
    <w:p w:rsidR="00DF60F6" w:rsidRPr="001443AD" w:rsidRDefault="00DF60F6" w:rsidP="00DF60F6">
      <w:pPr>
        <w:rPr>
          <w:b/>
        </w:rPr>
      </w:pPr>
      <w:r w:rsidRPr="001443AD">
        <w:rPr>
          <w:b/>
          <w:i/>
        </w:rPr>
        <w:t>State v. Patterson</w:t>
      </w:r>
      <w:r w:rsidRPr="001443AD">
        <w:rPr>
          <w:b/>
        </w:rPr>
        <w:t xml:space="preserve">, 819 N.W.2d 462 (Minn. App. Aug. 20, 2012), </w:t>
      </w:r>
      <w:r w:rsidRPr="001443AD">
        <w:rPr>
          <w:b/>
          <w:i/>
        </w:rPr>
        <w:t>review denied</w:t>
      </w:r>
      <w:r w:rsidRPr="001443AD">
        <w:rPr>
          <w:b/>
        </w:rPr>
        <w:t xml:space="preserve"> (Minn. Oct. 24, 2012) (A11-2095).</w:t>
      </w:r>
    </w:p>
    <w:p w:rsidR="00DF60F6" w:rsidRDefault="00DF60F6" w:rsidP="00DF60F6">
      <w:r>
        <w:tab/>
      </w:r>
      <w:r w:rsidRPr="001A26D3">
        <w:t>Minn. Stat. § 243.166, subd. 1b(b) (2008) does not require persons with out-of-state convictions for offenses “arising out of the same set of circumstances” as offenses enumerated in the statute to register as predatory offenders.</w:t>
      </w:r>
    </w:p>
    <w:p w:rsidR="00FD6CAA" w:rsidRDefault="00FD6CAA" w:rsidP="0077039C"/>
    <w:p w:rsidR="00C11446" w:rsidRDefault="00C11446" w:rsidP="0077039C"/>
    <w:p w:rsidR="004263F8" w:rsidRDefault="004263F8" w:rsidP="004263F8">
      <w:pPr>
        <w:pStyle w:val="FootnoteText"/>
        <w:tabs>
          <w:tab w:val="left" w:pos="720"/>
          <w:tab w:val="left" w:pos="1440"/>
          <w:tab w:val="left" w:pos="2160"/>
        </w:tabs>
        <w:rPr>
          <w:szCs w:val="26"/>
        </w:rPr>
      </w:pPr>
      <w:r>
        <w:rPr>
          <w:b/>
          <w:szCs w:val="26"/>
          <w:u w:val="single"/>
        </w:rPr>
        <w:t>Trial Procedure</w:t>
      </w:r>
    </w:p>
    <w:p w:rsidR="004263F8" w:rsidRDefault="004263F8" w:rsidP="004263F8">
      <w:pPr>
        <w:pStyle w:val="FootnoteText"/>
        <w:tabs>
          <w:tab w:val="left" w:pos="720"/>
          <w:tab w:val="left" w:pos="1440"/>
          <w:tab w:val="left" w:pos="2160"/>
        </w:tabs>
        <w:rPr>
          <w:szCs w:val="26"/>
        </w:rPr>
      </w:pPr>
    </w:p>
    <w:p w:rsidR="000624C4" w:rsidRPr="001443AD" w:rsidRDefault="000624C4" w:rsidP="000624C4">
      <w:pPr>
        <w:spacing w:before="60"/>
        <w:rPr>
          <w:b/>
          <w:i/>
        </w:rPr>
      </w:pPr>
      <w:r w:rsidRPr="001443AD">
        <w:rPr>
          <w:b/>
          <w:i/>
        </w:rPr>
        <w:t>State v. Caldwell</w:t>
      </w:r>
      <w:r w:rsidRPr="001443AD">
        <w:rPr>
          <w:b/>
        </w:rPr>
        <w:t xml:space="preserve">, 815 N.W.2d 512 (Minn. App. Apr. 16, 2012), </w:t>
      </w:r>
      <w:r w:rsidRPr="001443AD">
        <w:rPr>
          <w:b/>
          <w:i/>
        </w:rPr>
        <w:t xml:space="preserve">review denied </w:t>
      </w:r>
      <w:r w:rsidRPr="001443AD">
        <w:rPr>
          <w:b/>
        </w:rPr>
        <w:t>(Minn. Jun. 27, 2012) (A11-0292).</w:t>
      </w:r>
    </w:p>
    <w:p w:rsidR="000B5EF2" w:rsidRDefault="000624C4" w:rsidP="00E65D4C">
      <w:pPr>
        <w:spacing w:before="60"/>
      </w:pPr>
      <w:r>
        <w:tab/>
        <w:t>The district court does not abuse its discretion by prohibiting defense counsel in a criminal trial from commenting on the state’s failure to elicit an in-court identification of the defendant from a witness who previously identified the defendant.</w:t>
      </w:r>
    </w:p>
    <w:sectPr w:rsidR="000B5EF2" w:rsidSect="005F446E">
      <w:footerReference w:type="default" r:id="rId16"/>
      <w:pgSz w:w="12240" w:h="15840"/>
      <w:pgMar w:top="1440" w:right="1440" w:bottom="1440" w:left="1440" w:header="720" w:footer="115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8C6" w:rsidRDefault="003E78C6">
      <w:r>
        <w:separator/>
      </w:r>
    </w:p>
  </w:endnote>
  <w:endnote w:type="continuationSeparator" w:id="0">
    <w:p w:rsidR="003E78C6" w:rsidRDefault="003E7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8C6" w:rsidRDefault="003E78C6" w:rsidP="00885A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E78C6" w:rsidRDefault="003E78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8C6" w:rsidRDefault="003E78C6" w:rsidP="00885A1E">
    <w:pPr>
      <w:pStyle w:val="Footer"/>
      <w:framePr w:wrap="around" w:vAnchor="text" w:hAnchor="margin" w:xAlign="center" w:y="1"/>
      <w:rPr>
        <w:rStyle w:val="PageNumber"/>
      </w:rPr>
    </w:pPr>
    <w:r>
      <w:rPr>
        <w:rStyle w:val="PageNumber"/>
      </w:rPr>
      <w:fldChar w:fldCharType="begin"/>
    </w:r>
    <w:r>
      <w:rPr>
        <w:rStyle w:val="PageNumber"/>
      </w:rPr>
      <w:instrText xml:space="preserve"> PAGE  \* roman </w:instrText>
    </w:r>
    <w:r>
      <w:rPr>
        <w:rStyle w:val="PageNumber"/>
      </w:rPr>
      <w:fldChar w:fldCharType="separate"/>
    </w:r>
    <w:r>
      <w:rPr>
        <w:rStyle w:val="PageNumber"/>
        <w:noProof/>
      </w:rPr>
      <w:t>i</w:t>
    </w:r>
    <w:r>
      <w:rPr>
        <w:rStyle w:val="PageNumber"/>
      </w:rPr>
      <w:fldChar w:fldCharType="end"/>
    </w:r>
  </w:p>
  <w:p w:rsidR="003E78C6" w:rsidRDefault="003E78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8C6" w:rsidRDefault="003E78C6" w:rsidP="00885A1E">
    <w:pPr>
      <w:pStyle w:val="Footer"/>
      <w:framePr w:wrap="around" w:vAnchor="text" w:hAnchor="margin" w:xAlign="center" w:y="1"/>
      <w:rPr>
        <w:rStyle w:val="PageNumber"/>
      </w:rPr>
    </w:pPr>
    <w:r>
      <w:rPr>
        <w:rStyle w:val="PageNumber"/>
      </w:rPr>
      <w:fldChar w:fldCharType="begin"/>
    </w:r>
    <w:r>
      <w:rPr>
        <w:rStyle w:val="PageNumber"/>
      </w:rPr>
      <w:instrText xml:space="preserve"> PAGE  \* roman </w:instrText>
    </w:r>
    <w:r>
      <w:rPr>
        <w:rStyle w:val="PageNumber"/>
      </w:rPr>
      <w:fldChar w:fldCharType="separate"/>
    </w:r>
    <w:r w:rsidR="00187960">
      <w:rPr>
        <w:rStyle w:val="PageNumber"/>
        <w:noProof/>
      </w:rPr>
      <w:t>i</w:t>
    </w:r>
    <w:r>
      <w:rPr>
        <w:rStyle w:val="PageNumber"/>
      </w:rPr>
      <w:fldChar w:fldCharType="end"/>
    </w:r>
  </w:p>
  <w:p w:rsidR="003E78C6" w:rsidRDefault="003E78C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5543582"/>
      <w:docPartObj>
        <w:docPartGallery w:val="Page Numbers (Bottom of Page)"/>
        <w:docPartUnique/>
      </w:docPartObj>
    </w:sdtPr>
    <w:sdtEndPr>
      <w:rPr>
        <w:noProof/>
      </w:rPr>
    </w:sdtEndPr>
    <w:sdtContent>
      <w:p w:rsidR="003E78C6" w:rsidRDefault="003E78C6">
        <w:pPr>
          <w:pStyle w:val="Footer"/>
          <w:jc w:val="center"/>
        </w:pPr>
        <w:r>
          <w:fldChar w:fldCharType="begin"/>
        </w:r>
        <w:r>
          <w:instrText xml:space="preserve"> PAGE   \* MERGEFORMAT </w:instrText>
        </w:r>
        <w:r>
          <w:fldChar w:fldCharType="separate"/>
        </w:r>
        <w:r w:rsidR="004F77A4">
          <w:rPr>
            <w:noProof/>
          </w:rPr>
          <w:t>12</w:t>
        </w:r>
        <w:r>
          <w:rPr>
            <w:noProof/>
          </w:rPr>
          <w:fldChar w:fldCharType="end"/>
        </w:r>
      </w:p>
    </w:sdtContent>
  </w:sdt>
  <w:p w:rsidR="003E78C6" w:rsidRDefault="003E78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8C6" w:rsidRDefault="003E78C6">
      <w:r>
        <w:separator/>
      </w:r>
    </w:p>
  </w:footnote>
  <w:footnote w:type="continuationSeparator" w:id="0">
    <w:p w:rsidR="003E78C6" w:rsidRDefault="003E78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8C6" w:rsidRDefault="003E78C6" w:rsidP="00DA6EA4">
    <w:pPr>
      <w:pStyle w:val="Header"/>
      <w:jc w:val="right"/>
      <w:rPr>
        <w:i/>
      </w:rPr>
    </w:pPr>
  </w:p>
  <w:p w:rsidR="003E78C6" w:rsidRDefault="003E78C6" w:rsidP="00DA6EA4">
    <w:pPr>
      <w:pStyle w:val="Header"/>
      <w:jc w:val="right"/>
    </w:pPr>
  </w:p>
  <w:p w:rsidR="003E78C6" w:rsidRDefault="003E78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8C6" w:rsidRDefault="003E78C6" w:rsidP="00DA6EA4">
    <w:pPr>
      <w:pStyle w:val="Header"/>
      <w:jc w:val="right"/>
    </w:pPr>
  </w:p>
  <w:p w:rsidR="003E78C6" w:rsidRDefault="003E78C6" w:rsidP="00DA6EA4">
    <w:pPr>
      <w:pStyle w:val="Header"/>
      <w:jc w:val="right"/>
    </w:pPr>
  </w:p>
  <w:p w:rsidR="003E78C6" w:rsidRPr="00DA6EA4" w:rsidRDefault="003E78C6" w:rsidP="00DA6EA4">
    <w:pPr>
      <w:pStyle w:val="Header"/>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9549AE8"/>
    <w:lvl w:ilvl="0">
      <w:start w:val="1"/>
      <w:numFmt w:val="bullet"/>
      <w:lvlText w:val=""/>
      <w:lvlJc w:val="left"/>
      <w:pPr>
        <w:tabs>
          <w:tab w:val="num" w:pos="360"/>
        </w:tabs>
        <w:ind w:left="360" w:hanging="360"/>
      </w:pPr>
      <w:rPr>
        <w:rFonts w:ascii="Symbol" w:hAnsi="Symbol" w:hint="default"/>
      </w:rPr>
    </w:lvl>
  </w:abstractNum>
  <w:abstractNum w:abstractNumId="1">
    <w:nsid w:val="0A8A74D0"/>
    <w:multiLevelType w:val="hybridMultilevel"/>
    <w:tmpl w:val="DF8A30BA"/>
    <w:lvl w:ilvl="0" w:tplc="D062C1FE">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D3777B9"/>
    <w:multiLevelType w:val="hybridMultilevel"/>
    <w:tmpl w:val="9C808142"/>
    <w:lvl w:ilvl="0" w:tplc="D40C6BCA">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2CD4A2E"/>
    <w:multiLevelType w:val="singleLevel"/>
    <w:tmpl w:val="F5381F42"/>
    <w:lvl w:ilvl="0">
      <w:start w:val="2"/>
      <w:numFmt w:val="decimal"/>
      <w:lvlText w:val="%1."/>
      <w:lvlJc w:val="left"/>
      <w:pPr>
        <w:tabs>
          <w:tab w:val="num" w:pos="1440"/>
        </w:tabs>
        <w:ind w:left="1440" w:hanging="720"/>
      </w:pPr>
      <w:rPr>
        <w:rFonts w:hint="default"/>
      </w:rPr>
    </w:lvl>
  </w:abstractNum>
  <w:abstractNum w:abstractNumId="4">
    <w:nsid w:val="257F36A0"/>
    <w:multiLevelType w:val="hybridMultilevel"/>
    <w:tmpl w:val="90DAA3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5C956DE"/>
    <w:multiLevelType w:val="hybridMultilevel"/>
    <w:tmpl w:val="F88CC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187691"/>
    <w:multiLevelType w:val="hybridMultilevel"/>
    <w:tmpl w:val="D64EF170"/>
    <w:lvl w:ilvl="0" w:tplc="40F6AB10">
      <w:start w:val="3"/>
      <w:numFmt w:val="decimal"/>
      <w:lvlText w:val="%1."/>
      <w:lvlJc w:val="left"/>
      <w:pPr>
        <w:tabs>
          <w:tab w:val="num" w:pos="1440"/>
        </w:tabs>
        <w:ind w:left="1440" w:hanging="720"/>
      </w:pPr>
      <w:rPr>
        <w:rFonts w:hint="default"/>
      </w:rPr>
    </w:lvl>
    <w:lvl w:ilvl="1" w:tplc="0A3E3D00" w:tentative="1">
      <w:start w:val="1"/>
      <w:numFmt w:val="lowerLetter"/>
      <w:lvlText w:val="%2."/>
      <w:lvlJc w:val="left"/>
      <w:pPr>
        <w:tabs>
          <w:tab w:val="num" w:pos="1800"/>
        </w:tabs>
        <w:ind w:left="1800" w:hanging="360"/>
      </w:pPr>
    </w:lvl>
    <w:lvl w:ilvl="2" w:tplc="99A28206" w:tentative="1">
      <w:start w:val="1"/>
      <w:numFmt w:val="lowerRoman"/>
      <w:lvlText w:val="%3."/>
      <w:lvlJc w:val="right"/>
      <w:pPr>
        <w:tabs>
          <w:tab w:val="num" w:pos="2520"/>
        </w:tabs>
        <w:ind w:left="2520" w:hanging="180"/>
      </w:pPr>
    </w:lvl>
    <w:lvl w:ilvl="3" w:tplc="B12C6AE6" w:tentative="1">
      <w:start w:val="1"/>
      <w:numFmt w:val="decimal"/>
      <w:lvlText w:val="%4."/>
      <w:lvlJc w:val="left"/>
      <w:pPr>
        <w:tabs>
          <w:tab w:val="num" w:pos="3240"/>
        </w:tabs>
        <w:ind w:left="3240" w:hanging="360"/>
      </w:pPr>
    </w:lvl>
    <w:lvl w:ilvl="4" w:tplc="5CC2D77C" w:tentative="1">
      <w:start w:val="1"/>
      <w:numFmt w:val="lowerLetter"/>
      <w:lvlText w:val="%5."/>
      <w:lvlJc w:val="left"/>
      <w:pPr>
        <w:tabs>
          <w:tab w:val="num" w:pos="3960"/>
        </w:tabs>
        <w:ind w:left="3960" w:hanging="360"/>
      </w:pPr>
    </w:lvl>
    <w:lvl w:ilvl="5" w:tplc="520E5794" w:tentative="1">
      <w:start w:val="1"/>
      <w:numFmt w:val="lowerRoman"/>
      <w:lvlText w:val="%6."/>
      <w:lvlJc w:val="right"/>
      <w:pPr>
        <w:tabs>
          <w:tab w:val="num" w:pos="4680"/>
        </w:tabs>
        <w:ind w:left="4680" w:hanging="180"/>
      </w:pPr>
    </w:lvl>
    <w:lvl w:ilvl="6" w:tplc="5FB4E344" w:tentative="1">
      <w:start w:val="1"/>
      <w:numFmt w:val="decimal"/>
      <w:lvlText w:val="%7."/>
      <w:lvlJc w:val="left"/>
      <w:pPr>
        <w:tabs>
          <w:tab w:val="num" w:pos="5400"/>
        </w:tabs>
        <w:ind w:left="5400" w:hanging="360"/>
      </w:pPr>
    </w:lvl>
    <w:lvl w:ilvl="7" w:tplc="4B6831E4" w:tentative="1">
      <w:start w:val="1"/>
      <w:numFmt w:val="lowerLetter"/>
      <w:lvlText w:val="%8."/>
      <w:lvlJc w:val="left"/>
      <w:pPr>
        <w:tabs>
          <w:tab w:val="num" w:pos="6120"/>
        </w:tabs>
        <w:ind w:left="6120" w:hanging="360"/>
      </w:pPr>
    </w:lvl>
    <w:lvl w:ilvl="8" w:tplc="84008C72" w:tentative="1">
      <w:start w:val="1"/>
      <w:numFmt w:val="lowerRoman"/>
      <w:lvlText w:val="%9."/>
      <w:lvlJc w:val="right"/>
      <w:pPr>
        <w:tabs>
          <w:tab w:val="num" w:pos="6840"/>
        </w:tabs>
        <w:ind w:left="6840" w:hanging="180"/>
      </w:pPr>
    </w:lvl>
  </w:abstractNum>
  <w:abstractNum w:abstractNumId="7">
    <w:nsid w:val="2E372E6A"/>
    <w:multiLevelType w:val="hybridMultilevel"/>
    <w:tmpl w:val="F7A2C9D6"/>
    <w:lvl w:ilvl="0" w:tplc="D2A8063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4F97302"/>
    <w:multiLevelType w:val="hybridMultilevel"/>
    <w:tmpl w:val="E1F87D2E"/>
    <w:lvl w:ilvl="0" w:tplc="43FEC73C">
      <w:start w:val="1"/>
      <w:numFmt w:val="upperRoman"/>
      <w:lvlText w:val="%1."/>
      <w:lvlJc w:val="left"/>
      <w:pPr>
        <w:tabs>
          <w:tab w:val="num" w:pos="1630"/>
        </w:tabs>
        <w:ind w:left="1630" w:hanging="720"/>
      </w:pPr>
      <w:rPr>
        <w:rFonts w:hint="default"/>
      </w:rPr>
    </w:lvl>
    <w:lvl w:ilvl="1" w:tplc="04090019" w:tentative="1">
      <w:start w:val="1"/>
      <w:numFmt w:val="lowerLetter"/>
      <w:lvlText w:val="%2."/>
      <w:lvlJc w:val="left"/>
      <w:pPr>
        <w:tabs>
          <w:tab w:val="num" w:pos="1990"/>
        </w:tabs>
        <w:ind w:left="1990" w:hanging="360"/>
      </w:pPr>
    </w:lvl>
    <w:lvl w:ilvl="2" w:tplc="0409001B" w:tentative="1">
      <w:start w:val="1"/>
      <w:numFmt w:val="lowerRoman"/>
      <w:lvlText w:val="%3."/>
      <w:lvlJc w:val="right"/>
      <w:pPr>
        <w:tabs>
          <w:tab w:val="num" w:pos="2710"/>
        </w:tabs>
        <w:ind w:left="2710" w:hanging="180"/>
      </w:pPr>
    </w:lvl>
    <w:lvl w:ilvl="3" w:tplc="0409000F" w:tentative="1">
      <w:start w:val="1"/>
      <w:numFmt w:val="decimal"/>
      <w:lvlText w:val="%4."/>
      <w:lvlJc w:val="left"/>
      <w:pPr>
        <w:tabs>
          <w:tab w:val="num" w:pos="3430"/>
        </w:tabs>
        <w:ind w:left="3430" w:hanging="360"/>
      </w:pPr>
    </w:lvl>
    <w:lvl w:ilvl="4" w:tplc="04090019" w:tentative="1">
      <w:start w:val="1"/>
      <w:numFmt w:val="lowerLetter"/>
      <w:lvlText w:val="%5."/>
      <w:lvlJc w:val="left"/>
      <w:pPr>
        <w:tabs>
          <w:tab w:val="num" w:pos="4150"/>
        </w:tabs>
        <w:ind w:left="4150" w:hanging="360"/>
      </w:pPr>
    </w:lvl>
    <w:lvl w:ilvl="5" w:tplc="0409001B" w:tentative="1">
      <w:start w:val="1"/>
      <w:numFmt w:val="lowerRoman"/>
      <w:lvlText w:val="%6."/>
      <w:lvlJc w:val="right"/>
      <w:pPr>
        <w:tabs>
          <w:tab w:val="num" w:pos="4870"/>
        </w:tabs>
        <w:ind w:left="4870" w:hanging="180"/>
      </w:pPr>
    </w:lvl>
    <w:lvl w:ilvl="6" w:tplc="0409000F" w:tentative="1">
      <w:start w:val="1"/>
      <w:numFmt w:val="decimal"/>
      <w:lvlText w:val="%7."/>
      <w:lvlJc w:val="left"/>
      <w:pPr>
        <w:tabs>
          <w:tab w:val="num" w:pos="5590"/>
        </w:tabs>
        <w:ind w:left="5590" w:hanging="360"/>
      </w:pPr>
    </w:lvl>
    <w:lvl w:ilvl="7" w:tplc="04090019" w:tentative="1">
      <w:start w:val="1"/>
      <w:numFmt w:val="lowerLetter"/>
      <w:lvlText w:val="%8."/>
      <w:lvlJc w:val="left"/>
      <w:pPr>
        <w:tabs>
          <w:tab w:val="num" w:pos="6310"/>
        </w:tabs>
        <w:ind w:left="6310" w:hanging="360"/>
      </w:pPr>
    </w:lvl>
    <w:lvl w:ilvl="8" w:tplc="0409001B" w:tentative="1">
      <w:start w:val="1"/>
      <w:numFmt w:val="lowerRoman"/>
      <w:lvlText w:val="%9."/>
      <w:lvlJc w:val="right"/>
      <w:pPr>
        <w:tabs>
          <w:tab w:val="num" w:pos="7030"/>
        </w:tabs>
        <w:ind w:left="7030" w:hanging="180"/>
      </w:pPr>
    </w:lvl>
  </w:abstractNum>
  <w:abstractNum w:abstractNumId="9">
    <w:nsid w:val="3E1D2F11"/>
    <w:multiLevelType w:val="hybridMultilevel"/>
    <w:tmpl w:val="DF8A30BA"/>
    <w:lvl w:ilvl="0" w:tplc="D062C1FE">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2282B04"/>
    <w:multiLevelType w:val="hybridMultilevel"/>
    <w:tmpl w:val="90DAA3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3914AE2"/>
    <w:multiLevelType w:val="hybridMultilevel"/>
    <w:tmpl w:val="2708E516"/>
    <w:lvl w:ilvl="0" w:tplc="B64C2A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ED0449D"/>
    <w:multiLevelType w:val="singleLevel"/>
    <w:tmpl w:val="DD42AB4E"/>
    <w:lvl w:ilvl="0">
      <w:start w:val="2"/>
      <w:numFmt w:val="decimal"/>
      <w:lvlText w:val="%1."/>
      <w:lvlJc w:val="left"/>
      <w:pPr>
        <w:tabs>
          <w:tab w:val="num" w:pos="1080"/>
        </w:tabs>
        <w:ind w:left="1080" w:hanging="360"/>
      </w:pPr>
      <w:rPr>
        <w:rFonts w:hint="default"/>
      </w:rPr>
    </w:lvl>
  </w:abstractNum>
  <w:abstractNum w:abstractNumId="13">
    <w:nsid w:val="4F5A0354"/>
    <w:multiLevelType w:val="hybridMultilevel"/>
    <w:tmpl w:val="0074AD18"/>
    <w:lvl w:ilvl="0" w:tplc="64D49D24">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4F716CB0"/>
    <w:multiLevelType w:val="hybridMultilevel"/>
    <w:tmpl w:val="90DAA3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2292F8B"/>
    <w:multiLevelType w:val="hybridMultilevel"/>
    <w:tmpl w:val="0F9C47CC"/>
    <w:lvl w:ilvl="0" w:tplc="0F741EA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55015D1F"/>
    <w:multiLevelType w:val="hybridMultilevel"/>
    <w:tmpl w:val="F88CC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4158E3"/>
    <w:multiLevelType w:val="hybridMultilevel"/>
    <w:tmpl w:val="9D72AAB2"/>
    <w:lvl w:ilvl="0" w:tplc="04090013">
      <w:start w:val="1"/>
      <w:numFmt w:val="upperRoman"/>
      <w:lvlText w:val="%1."/>
      <w:lvlJc w:val="right"/>
      <w:pPr>
        <w:tabs>
          <w:tab w:val="num" w:pos="1260"/>
        </w:tabs>
        <w:ind w:left="1260" w:hanging="18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56803F14"/>
    <w:multiLevelType w:val="hybridMultilevel"/>
    <w:tmpl w:val="31D88902"/>
    <w:lvl w:ilvl="0" w:tplc="961410B4">
      <w:start w:val="1"/>
      <w:numFmt w:val="decimal"/>
      <w:lvlText w:val="%1."/>
      <w:lvlJc w:val="left"/>
      <w:pPr>
        <w:tabs>
          <w:tab w:val="num" w:pos="1155"/>
        </w:tabs>
        <w:ind w:left="1155" w:hanging="4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590737B0"/>
    <w:multiLevelType w:val="hybridMultilevel"/>
    <w:tmpl w:val="F702A948"/>
    <w:lvl w:ilvl="0" w:tplc="F6629EB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598C0A1D"/>
    <w:multiLevelType w:val="hybridMultilevel"/>
    <w:tmpl w:val="AD5666D2"/>
    <w:lvl w:ilvl="0" w:tplc="DB7CE57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CD2332F"/>
    <w:multiLevelType w:val="singleLevel"/>
    <w:tmpl w:val="B046DE6E"/>
    <w:lvl w:ilvl="0">
      <w:start w:val="1"/>
      <w:numFmt w:val="decimal"/>
      <w:lvlText w:val="%1."/>
      <w:lvlJc w:val="left"/>
      <w:pPr>
        <w:tabs>
          <w:tab w:val="num" w:pos="360"/>
        </w:tabs>
        <w:ind w:left="360" w:hanging="360"/>
      </w:pPr>
      <w:rPr>
        <w:rFonts w:ascii="CG Times" w:hAnsi="CG Times" w:hint="default"/>
      </w:rPr>
    </w:lvl>
  </w:abstractNum>
  <w:abstractNum w:abstractNumId="22">
    <w:nsid w:val="6089283A"/>
    <w:multiLevelType w:val="hybridMultilevel"/>
    <w:tmpl w:val="FF12D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464102B"/>
    <w:multiLevelType w:val="singleLevel"/>
    <w:tmpl w:val="04090013"/>
    <w:lvl w:ilvl="0">
      <w:start w:val="1"/>
      <w:numFmt w:val="upperRoman"/>
      <w:lvlText w:val="%1."/>
      <w:lvlJc w:val="left"/>
      <w:pPr>
        <w:tabs>
          <w:tab w:val="num" w:pos="720"/>
        </w:tabs>
        <w:ind w:left="720" w:hanging="720"/>
      </w:pPr>
      <w:rPr>
        <w:rFonts w:hint="default"/>
      </w:rPr>
    </w:lvl>
  </w:abstractNum>
  <w:abstractNum w:abstractNumId="24">
    <w:nsid w:val="683A4D86"/>
    <w:multiLevelType w:val="hybridMultilevel"/>
    <w:tmpl w:val="90DAA3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4815A81"/>
    <w:multiLevelType w:val="hybridMultilevel"/>
    <w:tmpl w:val="1864FD38"/>
    <w:lvl w:ilvl="0" w:tplc="181411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9201C2F"/>
    <w:multiLevelType w:val="hybridMultilevel"/>
    <w:tmpl w:val="0C20A4E4"/>
    <w:lvl w:ilvl="0" w:tplc="14A44F9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7A1B435C"/>
    <w:multiLevelType w:val="hybridMultilevel"/>
    <w:tmpl w:val="D22A3D14"/>
    <w:lvl w:ilvl="0" w:tplc="A282CF3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6"/>
  </w:num>
  <w:num w:numId="3">
    <w:abstractNumId w:val="3"/>
  </w:num>
  <w:num w:numId="4">
    <w:abstractNumId w:val="12"/>
  </w:num>
  <w:num w:numId="5">
    <w:abstractNumId w:val="18"/>
  </w:num>
  <w:num w:numId="6">
    <w:abstractNumId w:val="2"/>
  </w:num>
  <w:num w:numId="7">
    <w:abstractNumId w:val="20"/>
  </w:num>
  <w:num w:numId="8">
    <w:abstractNumId w:val="13"/>
  </w:num>
  <w:num w:numId="9">
    <w:abstractNumId w:val="23"/>
  </w:num>
  <w:num w:numId="10">
    <w:abstractNumId w:val="26"/>
  </w:num>
  <w:num w:numId="11">
    <w:abstractNumId w:val="7"/>
  </w:num>
  <w:num w:numId="12">
    <w:abstractNumId w:val="19"/>
  </w:num>
  <w:num w:numId="13">
    <w:abstractNumId w:val="15"/>
  </w:num>
  <w:num w:numId="14">
    <w:abstractNumId w:val="27"/>
  </w:num>
  <w:num w:numId="15">
    <w:abstractNumId w:val="17"/>
  </w:num>
  <w:num w:numId="16">
    <w:abstractNumId w:val="8"/>
  </w:num>
  <w:num w:numId="17">
    <w:abstractNumId w:val="0"/>
  </w:num>
  <w:num w:numId="18">
    <w:abstractNumId w:val="5"/>
  </w:num>
  <w:num w:numId="19">
    <w:abstractNumId w:val="11"/>
  </w:num>
  <w:num w:numId="20">
    <w:abstractNumId w:val="22"/>
  </w:num>
  <w:num w:numId="21">
    <w:abstractNumId w:val="1"/>
  </w:num>
  <w:num w:numId="22">
    <w:abstractNumId w:val="9"/>
  </w:num>
  <w:num w:numId="23">
    <w:abstractNumId w:val="24"/>
  </w:num>
  <w:num w:numId="24">
    <w:abstractNumId w:val="10"/>
  </w:num>
  <w:num w:numId="25">
    <w:abstractNumId w:val="4"/>
  </w:num>
  <w:num w:numId="26">
    <w:abstractNumId w:val="14"/>
  </w:num>
  <w:num w:numId="27">
    <w:abstractNumId w:val="16"/>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F40"/>
    <w:rsid w:val="0001156D"/>
    <w:rsid w:val="000262C4"/>
    <w:rsid w:val="0004288C"/>
    <w:rsid w:val="000550FE"/>
    <w:rsid w:val="000624C4"/>
    <w:rsid w:val="00063368"/>
    <w:rsid w:val="00063C6E"/>
    <w:rsid w:val="00071D9B"/>
    <w:rsid w:val="00091965"/>
    <w:rsid w:val="000B5EF2"/>
    <w:rsid w:val="000C1234"/>
    <w:rsid w:val="000C40C3"/>
    <w:rsid w:val="000D0EF8"/>
    <w:rsid w:val="000D3553"/>
    <w:rsid w:val="000D7438"/>
    <w:rsid w:val="000E0866"/>
    <w:rsid w:val="000F01D1"/>
    <w:rsid w:val="001010EB"/>
    <w:rsid w:val="001022F1"/>
    <w:rsid w:val="0010591A"/>
    <w:rsid w:val="00125BAA"/>
    <w:rsid w:val="0012699E"/>
    <w:rsid w:val="0012775C"/>
    <w:rsid w:val="001323F1"/>
    <w:rsid w:val="0013742D"/>
    <w:rsid w:val="00140A4C"/>
    <w:rsid w:val="00140A8B"/>
    <w:rsid w:val="00141914"/>
    <w:rsid w:val="001443AD"/>
    <w:rsid w:val="001457C3"/>
    <w:rsid w:val="001466ED"/>
    <w:rsid w:val="0015361E"/>
    <w:rsid w:val="00154550"/>
    <w:rsid w:val="00164D8B"/>
    <w:rsid w:val="00177B42"/>
    <w:rsid w:val="001805A9"/>
    <w:rsid w:val="001824CC"/>
    <w:rsid w:val="00187118"/>
    <w:rsid w:val="00187960"/>
    <w:rsid w:val="00187D94"/>
    <w:rsid w:val="001901F7"/>
    <w:rsid w:val="00192B54"/>
    <w:rsid w:val="001A6355"/>
    <w:rsid w:val="001B452E"/>
    <w:rsid w:val="001B5641"/>
    <w:rsid w:val="001C263F"/>
    <w:rsid w:val="001C3049"/>
    <w:rsid w:val="001C7DCA"/>
    <w:rsid w:val="001D3872"/>
    <w:rsid w:val="001D5ACC"/>
    <w:rsid w:val="001D7D2A"/>
    <w:rsid w:val="001E1FC8"/>
    <w:rsid w:val="001E4987"/>
    <w:rsid w:val="001E6DA6"/>
    <w:rsid w:val="001F021B"/>
    <w:rsid w:val="00200334"/>
    <w:rsid w:val="00204ADB"/>
    <w:rsid w:val="00214E2C"/>
    <w:rsid w:val="00231150"/>
    <w:rsid w:val="0023349A"/>
    <w:rsid w:val="00236E31"/>
    <w:rsid w:val="00242146"/>
    <w:rsid w:val="00245C4B"/>
    <w:rsid w:val="002516BB"/>
    <w:rsid w:val="002526C3"/>
    <w:rsid w:val="00252744"/>
    <w:rsid w:val="0025791F"/>
    <w:rsid w:val="00263020"/>
    <w:rsid w:val="00265906"/>
    <w:rsid w:val="002661F8"/>
    <w:rsid w:val="002711B2"/>
    <w:rsid w:val="002752E2"/>
    <w:rsid w:val="0027579D"/>
    <w:rsid w:val="00292833"/>
    <w:rsid w:val="002932C0"/>
    <w:rsid w:val="0029384A"/>
    <w:rsid w:val="00294027"/>
    <w:rsid w:val="00294673"/>
    <w:rsid w:val="00296665"/>
    <w:rsid w:val="002A076C"/>
    <w:rsid w:val="002A167F"/>
    <w:rsid w:val="002A2E97"/>
    <w:rsid w:val="002B215C"/>
    <w:rsid w:val="002B6658"/>
    <w:rsid w:val="002D1CB3"/>
    <w:rsid w:val="002D2FA4"/>
    <w:rsid w:val="002D40C1"/>
    <w:rsid w:val="002D601D"/>
    <w:rsid w:val="002E1929"/>
    <w:rsid w:val="002E3B38"/>
    <w:rsid w:val="002F2EA7"/>
    <w:rsid w:val="002F4EA3"/>
    <w:rsid w:val="002F7DEB"/>
    <w:rsid w:val="00311752"/>
    <w:rsid w:val="00312128"/>
    <w:rsid w:val="003122FA"/>
    <w:rsid w:val="0031532E"/>
    <w:rsid w:val="00321473"/>
    <w:rsid w:val="00322623"/>
    <w:rsid w:val="00334115"/>
    <w:rsid w:val="0033458D"/>
    <w:rsid w:val="00355D9C"/>
    <w:rsid w:val="00356C4E"/>
    <w:rsid w:val="00364638"/>
    <w:rsid w:val="00364712"/>
    <w:rsid w:val="00364A77"/>
    <w:rsid w:val="00364CB6"/>
    <w:rsid w:val="00376CBA"/>
    <w:rsid w:val="0037781C"/>
    <w:rsid w:val="00382752"/>
    <w:rsid w:val="003A0954"/>
    <w:rsid w:val="003A2140"/>
    <w:rsid w:val="003A22EC"/>
    <w:rsid w:val="003A2E79"/>
    <w:rsid w:val="003A563F"/>
    <w:rsid w:val="003B06B9"/>
    <w:rsid w:val="003B3E01"/>
    <w:rsid w:val="003B572F"/>
    <w:rsid w:val="003C1F4C"/>
    <w:rsid w:val="003C21C6"/>
    <w:rsid w:val="003C239A"/>
    <w:rsid w:val="003D142A"/>
    <w:rsid w:val="003D264C"/>
    <w:rsid w:val="003D337F"/>
    <w:rsid w:val="003D4020"/>
    <w:rsid w:val="003D602A"/>
    <w:rsid w:val="003E065D"/>
    <w:rsid w:val="003E1A55"/>
    <w:rsid w:val="003E4407"/>
    <w:rsid w:val="003E677D"/>
    <w:rsid w:val="003E78C6"/>
    <w:rsid w:val="003E7A5F"/>
    <w:rsid w:val="003F0508"/>
    <w:rsid w:val="003F0EA0"/>
    <w:rsid w:val="003F11ED"/>
    <w:rsid w:val="00402B68"/>
    <w:rsid w:val="00404866"/>
    <w:rsid w:val="00404A1A"/>
    <w:rsid w:val="00406505"/>
    <w:rsid w:val="00415C2F"/>
    <w:rsid w:val="00422EA9"/>
    <w:rsid w:val="004246A4"/>
    <w:rsid w:val="004263F8"/>
    <w:rsid w:val="00427A7D"/>
    <w:rsid w:val="00431CBE"/>
    <w:rsid w:val="00433D30"/>
    <w:rsid w:val="00436783"/>
    <w:rsid w:val="00442FFA"/>
    <w:rsid w:val="004536F9"/>
    <w:rsid w:val="00456E8B"/>
    <w:rsid w:val="00461A06"/>
    <w:rsid w:val="00461D64"/>
    <w:rsid w:val="004626C2"/>
    <w:rsid w:val="0046485C"/>
    <w:rsid w:val="00466E58"/>
    <w:rsid w:val="00476308"/>
    <w:rsid w:val="004771AA"/>
    <w:rsid w:val="00480044"/>
    <w:rsid w:val="00490238"/>
    <w:rsid w:val="004A2C5E"/>
    <w:rsid w:val="004A2DFE"/>
    <w:rsid w:val="004A323B"/>
    <w:rsid w:val="004B139B"/>
    <w:rsid w:val="004B22A7"/>
    <w:rsid w:val="004B241B"/>
    <w:rsid w:val="004B3554"/>
    <w:rsid w:val="004B3C21"/>
    <w:rsid w:val="004C1E86"/>
    <w:rsid w:val="004C3E2E"/>
    <w:rsid w:val="004C5F75"/>
    <w:rsid w:val="004D1719"/>
    <w:rsid w:val="004D23A8"/>
    <w:rsid w:val="004D2870"/>
    <w:rsid w:val="004D67A8"/>
    <w:rsid w:val="004F1229"/>
    <w:rsid w:val="004F4F9A"/>
    <w:rsid w:val="004F77A4"/>
    <w:rsid w:val="00506650"/>
    <w:rsid w:val="0051074F"/>
    <w:rsid w:val="0051487A"/>
    <w:rsid w:val="00515833"/>
    <w:rsid w:val="0052071E"/>
    <w:rsid w:val="005222EA"/>
    <w:rsid w:val="0052419A"/>
    <w:rsid w:val="005248A3"/>
    <w:rsid w:val="00527E21"/>
    <w:rsid w:val="00535A40"/>
    <w:rsid w:val="00540A85"/>
    <w:rsid w:val="00540D55"/>
    <w:rsid w:val="005417E5"/>
    <w:rsid w:val="005422BE"/>
    <w:rsid w:val="0055143C"/>
    <w:rsid w:val="00556594"/>
    <w:rsid w:val="0055772D"/>
    <w:rsid w:val="00565210"/>
    <w:rsid w:val="0057342E"/>
    <w:rsid w:val="00577723"/>
    <w:rsid w:val="00580FA2"/>
    <w:rsid w:val="00587E1D"/>
    <w:rsid w:val="0059076A"/>
    <w:rsid w:val="005974EC"/>
    <w:rsid w:val="005A4F00"/>
    <w:rsid w:val="005B693E"/>
    <w:rsid w:val="005C0FE0"/>
    <w:rsid w:val="005D2F36"/>
    <w:rsid w:val="005D4983"/>
    <w:rsid w:val="005E060C"/>
    <w:rsid w:val="005E17E8"/>
    <w:rsid w:val="005E67D5"/>
    <w:rsid w:val="005E70D8"/>
    <w:rsid w:val="005F223D"/>
    <w:rsid w:val="005F446E"/>
    <w:rsid w:val="005F7CD5"/>
    <w:rsid w:val="006106CA"/>
    <w:rsid w:val="00616613"/>
    <w:rsid w:val="00621A2A"/>
    <w:rsid w:val="00621BD3"/>
    <w:rsid w:val="00641BDD"/>
    <w:rsid w:val="00650CF9"/>
    <w:rsid w:val="0065560F"/>
    <w:rsid w:val="00670AE0"/>
    <w:rsid w:val="0067379A"/>
    <w:rsid w:val="00683BEF"/>
    <w:rsid w:val="00690B03"/>
    <w:rsid w:val="00693CD2"/>
    <w:rsid w:val="00694044"/>
    <w:rsid w:val="00694488"/>
    <w:rsid w:val="00695AE3"/>
    <w:rsid w:val="006B2827"/>
    <w:rsid w:val="006B2E59"/>
    <w:rsid w:val="006B72EE"/>
    <w:rsid w:val="006C1EB5"/>
    <w:rsid w:val="006C3F57"/>
    <w:rsid w:val="006D0D43"/>
    <w:rsid w:val="006D575F"/>
    <w:rsid w:val="006E0CB7"/>
    <w:rsid w:val="006E237E"/>
    <w:rsid w:val="006E6A99"/>
    <w:rsid w:val="006F1C63"/>
    <w:rsid w:val="006F2A0B"/>
    <w:rsid w:val="006F72F3"/>
    <w:rsid w:val="006F739D"/>
    <w:rsid w:val="006F7821"/>
    <w:rsid w:val="006F7EA1"/>
    <w:rsid w:val="00700333"/>
    <w:rsid w:val="00704A7E"/>
    <w:rsid w:val="007103B3"/>
    <w:rsid w:val="00710491"/>
    <w:rsid w:val="007163C4"/>
    <w:rsid w:val="00734899"/>
    <w:rsid w:val="007350FD"/>
    <w:rsid w:val="00741B08"/>
    <w:rsid w:val="00746C17"/>
    <w:rsid w:val="00746FBF"/>
    <w:rsid w:val="0075104F"/>
    <w:rsid w:val="0075401F"/>
    <w:rsid w:val="00755B77"/>
    <w:rsid w:val="007622E9"/>
    <w:rsid w:val="0076499A"/>
    <w:rsid w:val="0077039C"/>
    <w:rsid w:val="0077121C"/>
    <w:rsid w:val="00772F6B"/>
    <w:rsid w:val="00774A3B"/>
    <w:rsid w:val="00781E90"/>
    <w:rsid w:val="007820EC"/>
    <w:rsid w:val="00787FB2"/>
    <w:rsid w:val="007917FA"/>
    <w:rsid w:val="007B002D"/>
    <w:rsid w:val="007B3105"/>
    <w:rsid w:val="007C0594"/>
    <w:rsid w:val="007E2DDF"/>
    <w:rsid w:val="007E5918"/>
    <w:rsid w:val="007F165F"/>
    <w:rsid w:val="008038B1"/>
    <w:rsid w:val="00807DE3"/>
    <w:rsid w:val="00812DAA"/>
    <w:rsid w:val="00814987"/>
    <w:rsid w:val="00817274"/>
    <w:rsid w:val="008178D7"/>
    <w:rsid w:val="00821A5A"/>
    <w:rsid w:val="0082483D"/>
    <w:rsid w:val="00824BF3"/>
    <w:rsid w:val="008311B3"/>
    <w:rsid w:val="00832459"/>
    <w:rsid w:val="00834C03"/>
    <w:rsid w:val="00836DF7"/>
    <w:rsid w:val="00840121"/>
    <w:rsid w:val="00852555"/>
    <w:rsid w:val="00854DC2"/>
    <w:rsid w:val="008715AF"/>
    <w:rsid w:val="00872F13"/>
    <w:rsid w:val="008763BC"/>
    <w:rsid w:val="00880FE9"/>
    <w:rsid w:val="00885A1E"/>
    <w:rsid w:val="00886C8B"/>
    <w:rsid w:val="008929EE"/>
    <w:rsid w:val="0089378F"/>
    <w:rsid w:val="00893DBE"/>
    <w:rsid w:val="00894F21"/>
    <w:rsid w:val="008A0EB0"/>
    <w:rsid w:val="008A2385"/>
    <w:rsid w:val="008A30CD"/>
    <w:rsid w:val="008A594E"/>
    <w:rsid w:val="008A7871"/>
    <w:rsid w:val="008B5E7E"/>
    <w:rsid w:val="008B6634"/>
    <w:rsid w:val="008C18AA"/>
    <w:rsid w:val="008C544C"/>
    <w:rsid w:val="008C5C3B"/>
    <w:rsid w:val="008C6ABF"/>
    <w:rsid w:val="008E18CA"/>
    <w:rsid w:val="008E33CC"/>
    <w:rsid w:val="008F0A0C"/>
    <w:rsid w:val="008F1556"/>
    <w:rsid w:val="008F5D2E"/>
    <w:rsid w:val="008F67CC"/>
    <w:rsid w:val="0090478F"/>
    <w:rsid w:val="00907E38"/>
    <w:rsid w:val="009106E3"/>
    <w:rsid w:val="00914D80"/>
    <w:rsid w:val="0091714D"/>
    <w:rsid w:val="00922225"/>
    <w:rsid w:val="0092420C"/>
    <w:rsid w:val="00926C2C"/>
    <w:rsid w:val="009315A2"/>
    <w:rsid w:val="00932A94"/>
    <w:rsid w:val="009337E3"/>
    <w:rsid w:val="00941EFB"/>
    <w:rsid w:val="0094600C"/>
    <w:rsid w:val="009526F7"/>
    <w:rsid w:val="00954786"/>
    <w:rsid w:val="00974554"/>
    <w:rsid w:val="00976DEF"/>
    <w:rsid w:val="00977FE6"/>
    <w:rsid w:val="00980833"/>
    <w:rsid w:val="0098627A"/>
    <w:rsid w:val="009920AA"/>
    <w:rsid w:val="009A4139"/>
    <w:rsid w:val="009A4561"/>
    <w:rsid w:val="009A5214"/>
    <w:rsid w:val="009B292B"/>
    <w:rsid w:val="009B514B"/>
    <w:rsid w:val="009C0D6D"/>
    <w:rsid w:val="009C37FB"/>
    <w:rsid w:val="009C6FD7"/>
    <w:rsid w:val="009D32C8"/>
    <w:rsid w:val="009D41E9"/>
    <w:rsid w:val="009D69C0"/>
    <w:rsid w:val="009D7C3A"/>
    <w:rsid w:val="009E0EBD"/>
    <w:rsid w:val="009E572F"/>
    <w:rsid w:val="009E6952"/>
    <w:rsid w:val="009F45E2"/>
    <w:rsid w:val="009F4E2B"/>
    <w:rsid w:val="009F759B"/>
    <w:rsid w:val="00A00620"/>
    <w:rsid w:val="00A079CD"/>
    <w:rsid w:val="00A07D57"/>
    <w:rsid w:val="00A20BC9"/>
    <w:rsid w:val="00A2141C"/>
    <w:rsid w:val="00A26EAC"/>
    <w:rsid w:val="00A328D0"/>
    <w:rsid w:val="00A34165"/>
    <w:rsid w:val="00A3509C"/>
    <w:rsid w:val="00A35F61"/>
    <w:rsid w:val="00A36060"/>
    <w:rsid w:val="00A36A2A"/>
    <w:rsid w:val="00A37EC5"/>
    <w:rsid w:val="00A42BF5"/>
    <w:rsid w:val="00A44347"/>
    <w:rsid w:val="00A50AA7"/>
    <w:rsid w:val="00A5715B"/>
    <w:rsid w:val="00A63D39"/>
    <w:rsid w:val="00A63E5D"/>
    <w:rsid w:val="00A6537C"/>
    <w:rsid w:val="00A6742C"/>
    <w:rsid w:val="00A7029D"/>
    <w:rsid w:val="00A7231D"/>
    <w:rsid w:val="00A7572C"/>
    <w:rsid w:val="00A86967"/>
    <w:rsid w:val="00AA22E9"/>
    <w:rsid w:val="00AB3A1C"/>
    <w:rsid w:val="00AB7048"/>
    <w:rsid w:val="00AC44B9"/>
    <w:rsid w:val="00AC4E34"/>
    <w:rsid w:val="00AC6AD4"/>
    <w:rsid w:val="00AD3BA6"/>
    <w:rsid w:val="00AD45B5"/>
    <w:rsid w:val="00AE38D1"/>
    <w:rsid w:val="00AF70A3"/>
    <w:rsid w:val="00B10F38"/>
    <w:rsid w:val="00B2006F"/>
    <w:rsid w:val="00B20207"/>
    <w:rsid w:val="00B21AFD"/>
    <w:rsid w:val="00B226AD"/>
    <w:rsid w:val="00B23D27"/>
    <w:rsid w:val="00B267C4"/>
    <w:rsid w:val="00B312FB"/>
    <w:rsid w:val="00B32908"/>
    <w:rsid w:val="00B34032"/>
    <w:rsid w:val="00B3651A"/>
    <w:rsid w:val="00B40860"/>
    <w:rsid w:val="00B40B7E"/>
    <w:rsid w:val="00B450D2"/>
    <w:rsid w:val="00B51E82"/>
    <w:rsid w:val="00B57243"/>
    <w:rsid w:val="00B57E84"/>
    <w:rsid w:val="00B57F9F"/>
    <w:rsid w:val="00B65412"/>
    <w:rsid w:val="00B66399"/>
    <w:rsid w:val="00B725FA"/>
    <w:rsid w:val="00B728B0"/>
    <w:rsid w:val="00B76960"/>
    <w:rsid w:val="00B86826"/>
    <w:rsid w:val="00B87FF0"/>
    <w:rsid w:val="00B916CC"/>
    <w:rsid w:val="00B92DC0"/>
    <w:rsid w:val="00B930DF"/>
    <w:rsid w:val="00B96919"/>
    <w:rsid w:val="00B97B30"/>
    <w:rsid w:val="00BA053D"/>
    <w:rsid w:val="00BA09FE"/>
    <w:rsid w:val="00BA3104"/>
    <w:rsid w:val="00BA511C"/>
    <w:rsid w:val="00BA5D3B"/>
    <w:rsid w:val="00BA7459"/>
    <w:rsid w:val="00BA7A00"/>
    <w:rsid w:val="00BB4C84"/>
    <w:rsid w:val="00BC2BAB"/>
    <w:rsid w:val="00BC2F40"/>
    <w:rsid w:val="00BD07C6"/>
    <w:rsid w:val="00BD09BE"/>
    <w:rsid w:val="00BD1948"/>
    <w:rsid w:val="00BD56E0"/>
    <w:rsid w:val="00BD66D8"/>
    <w:rsid w:val="00BE2A81"/>
    <w:rsid w:val="00BE6429"/>
    <w:rsid w:val="00BF4087"/>
    <w:rsid w:val="00BF5FF6"/>
    <w:rsid w:val="00BF672C"/>
    <w:rsid w:val="00C11446"/>
    <w:rsid w:val="00C138CC"/>
    <w:rsid w:val="00C269E8"/>
    <w:rsid w:val="00C32692"/>
    <w:rsid w:val="00C47DC8"/>
    <w:rsid w:val="00C525C5"/>
    <w:rsid w:val="00C52F42"/>
    <w:rsid w:val="00C53EC0"/>
    <w:rsid w:val="00C61673"/>
    <w:rsid w:val="00C64BE7"/>
    <w:rsid w:val="00C73BD7"/>
    <w:rsid w:val="00C77D75"/>
    <w:rsid w:val="00C90577"/>
    <w:rsid w:val="00C951E7"/>
    <w:rsid w:val="00C95551"/>
    <w:rsid w:val="00C96804"/>
    <w:rsid w:val="00CA0F25"/>
    <w:rsid w:val="00CA2256"/>
    <w:rsid w:val="00CA26E4"/>
    <w:rsid w:val="00CA4BC8"/>
    <w:rsid w:val="00CA56DF"/>
    <w:rsid w:val="00CA60B2"/>
    <w:rsid w:val="00CA642F"/>
    <w:rsid w:val="00CA668A"/>
    <w:rsid w:val="00CA7C41"/>
    <w:rsid w:val="00CB12EF"/>
    <w:rsid w:val="00CB1361"/>
    <w:rsid w:val="00CB20C1"/>
    <w:rsid w:val="00CB2D95"/>
    <w:rsid w:val="00CB3464"/>
    <w:rsid w:val="00CC21BF"/>
    <w:rsid w:val="00CC60CE"/>
    <w:rsid w:val="00CD15FE"/>
    <w:rsid w:val="00CD30C3"/>
    <w:rsid w:val="00CE0EE6"/>
    <w:rsid w:val="00CE145E"/>
    <w:rsid w:val="00CE151E"/>
    <w:rsid w:val="00CE621B"/>
    <w:rsid w:val="00CF1F23"/>
    <w:rsid w:val="00CF2FE0"/>
    <w:rsid w:val="00CF7658"/>
    <w:rsid w:val="00D01321"/>
    <w:rsid w:val="00D01ACD"/>
    <w:rsid w:val="00D059E1"/>
    <w:rsid w:val="00D07D76"/>
    <w:rsid w:val="00D101FA"/>
    <w:rsid w:val="00D10734"/>
    <w:rsid w:val="00D12834"/>
    <w:rsid w:val="00D13401"/>
    <w:rsid w:val="00D13AE3"/>
    <w:rsid w:val="00D16583"/>
    <w:rsid w:val="00D17DA2"/>
    <w:rsid w:val="00D21B0E"/>
    <w:rsid w:val="00D243CF"/>
    <w:rsid w:val="00D25407"/>
    <w:rsid w:val="00D31630"/>
    <w:rsid w:val="00D37E70"/>
    <w:rsid w:val="00D439B6"/>
    <w:rsid w:val="00D47F51"/>
    <w:rsid w:val="00D508BD"/>
    <w:rsid w:val="00D532CF"/>
    <w:rsid w:val="00D55D1B"/>
    <w:rsid w:val="00D563DE"/>
    <w:rsid w:val="00D61257"/>
    <w:rsid w:val="00D63394"/>
    <w:rsid w:val="00D651B2"/>
    <w:rsid w:val="00D67668"/>
    <w:rsid w:val="00D67801"/>
    <w:rsid w:val="00D806D0"/>
    <w:rsid w:val="00D81EA0"/>
    <w:rsid w:val="00D8493F"/>
    <w:rsid w:val="00D961B4"/>
    <w:rsid w:val="00DA1371"/>
    <w:rsid w:val="00DA5124"/>
    <w:rsid w:val="00DA5814"/>
    <w:rsid w:val="00DA6EA4"/>
    <w:rsid w:val="00DB0DD2"/>
    <w:rsid w:val="00DB368E"/>
    <w:rsid w:val="00DC1BFF"/>
    <w:rsid w:val="00DD5624"/>
    <w:rsid w:val="00DE5E63"/>
    <w:rsid w:val="00DF60F6"/>
    <w:rsid w:val="00DF63C3"/>
    <w:rsid w:val="00DF7D88"/>
    <w:rsid w:val="00E00A06"/>
    <w:rsid w:val="00E01222"/>
    <w:rsid w:val="00E0491D"/>
    <w:rsid w:val="00E10B5E"/>
    <w:rsid w:val="00E20818"/>
    <w:rsid w:val="00E258FD"/>
    <w:rsid w:val="00E31ABE"/>
    <w:rsid w:val="00E451E1"/>
    <w:rsid w:val="00E45E86"/>
    <w:rsid w:val="00E502FD"/>
    <w:rsid w:val="00E521F1"/>
    <w:rsid w:val="00E55F71"/>
    <w:rsid w:val="00E601C1"/>
    <w:rsid w:val="00E65D4C"/>
    <w:rsid w:val="00E66ED9"/>
    <w:rsid w:val="00E751F4"/>
    <w:rsid w:val="00E81B62"/>
    <w:rsid w:val="00E83F80"/>
    <w:rsid w:val="00E94221"/>
    <w:rsid w:val="00EA40BE"/>
    <w:rsid w:val="00EB1122"/>
    <w:rsid w:val="00EB38D5"/>
    <w:rsid w:val="00EB4E4C"/>
    <w:rsid w:val="00EC00B9"/>
    <w:rsid w:val="00EC658A"/>
    <w:rsid w:val="00EC7A72"/>
    <w:rsid w:val="00ED084F"/>
    <w:rsid w:val="00EE21FA"/>
    <w:rsid w:val="00EE31FD"/>
    <w:rsid w:val="00EE4B79"/>
    <w:rsid w:val="00EE52E5"/>
    <w:rsid w:val="00EF0F7D"/>
    <w:rsid w:val="00EF5596"/>
    <w:rsid w:val="00F002DD"/>
    <w:rsid w:val="00F123F0"/>
    <w:rsid w:val="00F12701"/>
    <w:rsid w:val="00F20F70"/>
    <w:rsid w:val="00F22BAA"/>
    <w:rsid w:val="00F30206"/>
    <w:rsid w:val="00F31ECA"/>
    <w:rsid w:val="00F32543"/>
    <w:rsid w:val="00F33FD1"/>
    <w:rsid w:val="00F42E7B"/>
    <w:rsid w:val="00F436D0"/>
    <w:rsid w:val="00F47136"/>
    <w:rsid w:val="00F47981"/>
    <w:rsid w:val="00F51F4E"/>
    <w:rsid w:val="00F56E53"/>
    <w:rsid w:val="00F60387"/>
    <w:rsid w:val="00F60881"/>
    <w:rsid w:val="00F62430"/>
    <w:rsid w:val="00F63720"/>
    <w:rsid w:val="00F669EF"/>
    <w:rsid w:val="00F67CB5"/>
    <w:rsid w:val="00F74022"/>
    <w:rsid w:val="00F74C5D"/>
    <w:rsid w:val="00F77264"/>
    <w:rsid w:val="00F86C0A"/>
    <w:rsid w:val="00FA35E5"/>
    <w:rsid w:val="00FA7DA0"/>
    <w:rsid w:val="00FB302D"/>
    <w:rsid w:val="00FB74B6"/>
    <w:rsid w:val="00FC279B"/>
    <w:rsid w:val="00FC2C0A"/>
    <w:rsid w:val="00FD3F87"/>
    <w:rsid w:val="00FD6CAA"/>
    <w:rsid w:val="00FD75F5"/>
    <w:rsid w:val="00FE04EA"/>
    <w:rsid w:val="00FE1F5B"/>
    <w:rsid w:val="00FF10A2"/>
    <w:rsid w:val="00FF3461"/>
    <w:rsid w:val="00FF6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20C1"/>
    <w:pPr>
      <w:suppressAutoHyphens/>
      <w:jc w:val="both"/>
    </w:pPr>
    <w:rPr>
      <w:sz w:val="26"/>
    </w:rPr>
  </w:style>
  <w:style w:type="paragraph" w:styleId="Heading1">
    <w:name w:val="heading 1"/>
    <w:basedOn w:val="Normal"/>
    <w:next w:val="Normal"/>
    <w:qFormat/>
    <w:rsid w:val="00DE5E63"/>
    <w:pPr>
      <w:keepNext/>
      <w:outlineLvl w:val="0"/>
    </w:pPr>
    <w:rPr>
      <w:b/>
    </w:rPr>
  </w:style>
  <w:style w:type="paragraph" w:styleId="Heading2">
    <w:name w:val="heading 2"/>
    <w:basedOn w:val="Normal"/>
    <w:next w:val="Normal"/>
    <w:link w:val="Heading2Char"/>
    <w:qFormat/>
    <w:rsid w:val="00DE5E63"/>
    <w:pPr>
      <w:keepNext/>
      <w:jc w:val="center"/>
      <w:outlineLvl w:val="1"/>
    </w:pPr>
    <w:rPr>
      <w:b/>
    </w:rPr>
  </w:style>
  <w:style w:type="paragraph" w:styleId="Heading3">
    <w:name w:val="heading 3"/>
    <w:basedOn w:val="Normal"/>
    <w:next w:val="Normal"/>
    <w:qFormat/>
    <w:rsid w:val="00DE5E63"/>
    <w:pPr>
      <w:keepNext/>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DE5E63"/>
    <w:pPr>
      <w:framePr w:w="7920" w:h="1980" w:hRule="exact" w:hSpace="180" w:wrap="auto" w:hAnchor="page" w:xAlign="center" w:yAlign="bottom"/>
      <w:ind w:left="2448" w:right="-2880"/>
      <w:jc w:val="left"/>
    </w:pPr>
    <w:rPr>
      <w:caps/>
      <w:sz w:val="22"/>
    </w:rPr>
  </w:style>
  <w:style w:type="paragraph" w:styleId="EnvelopeReturn">
    <w:name w:val="envelope return"/>
    <w:basedOn w:val="Normal"/>
    <w:rsid w:val="00DE5E63"/>
    <w:rPr>
      <w:caps/>
      <w:sz w:val="20"/>
    </w:rPr>
  </w:style>
  <w:style w:type="paragraph" w:styleId="BlockText">
    <w:name w:val="Block Text"/>
    <w:basedOn w:val="Normal"/>
    <w:rsid w:val="00DE5E63"/>
    <w:pPr>
      <w:ind w:left="720" w:right="720"/>
    </w:pPr>
  </w:style>
  <w:style w:type="paragraph" w:styleId="FootnoteText">
    <w:name w:val="footnote text"/>
    <w:basedOn w:val="Normal"/>
    <w:link w:val="FootnoteTextChar"/>
    <w:semiHidden/>
    <w:rsid w:val="00DE5E63"/>
  </w:style>
  <w:style w:type="character" w:styleId="FootnoteReference">
    <w:name w:val="footnote reference"/>
    <w:basedOn w:val="DefaultParagraphFont"/>
    <w:semiHidden/>
    <w:rsid w:val="00DE5E63"/>
    <w:rPr>
      <w:rFonts w:ascii="Times New Roman" w:hAnsi="Times New Roman"/>
      <w:sz w:val="26"/>
      <w:vertAlign w:val="superscript"/>
    </w:rPr>
  </w:style>
  <w:style w:type="paragraph" w:styleId="Footer">
    <w:name w:val="footer"/>
    <w:basedOn w:val="Normal"/>
    <w:link w:val="FooterChar"/>
    <w:uiPriority w:val="99"/>
    <w:rsid w:val="00DE5E63"/>
    <w:pPr>
      <w:tabs>
        <w:tab w:val="center" w:pos="4320"/>
        <w:tab w:val="right" w:pos="8640"/>
      </w:tabs>
      <w:suppressAutoHyphens w:val="0"/>
    </w:pPr>
    <w:rPr>
      <w:snapToGrid w:val="0"/>
    </w:rPr>
  </w:style>
  <w:style w:type="paragraph" w:styleId="BodyText">
    <w:name w:val="Body Text"/>
    <w:basedOn w:val="Normal"/>
    <w:link w:val="BodyTextChar"/>
    <w:rsid w:val="00DE5E63"/>
    <w:pPr>
      <w:spacing w:line="480" w:lineRule="auto"/>
    </w:pPr>
  </w:style>
  <w:style w:type="paragraph" w:styleId="BodyTextIndent2">
    <w:name w:val="Body Text Indent 2"/>
    <w:basedOn w:val="Normal"/>
    <w:rsid w:val="00DE5E63"/>
    <w:pPr>
      <w:suppressAutoHyphens w:val="0"/>
      <w:ind w:firstLine="720"/>
    </w:pPr>
    <w:rPr>
      <w:snapToGrid w:val="0"/>
    </w:rPr>
  </w:style>
  <w:style w:type="character" w:styleId="PageNumber">
    <w:name w:val="page number"/>
    <w:basedOn w:val="DefaultParagraphFont"/>
    <w:rsid w:val="00DE5E63"/>
    <w:rPr>
      <w:rFonts w:ascii="Times New Roman" w:hAnsi="Times New Roman"/>
      <w:sz w:val="26"/>
    </w:rPr>
  </w:style>
  <w:style w:type="paragraph" w:styleId="Title">
    <w:name w:val="Title"/>
    <w:basedOn w:val="Normal"/>
    <w:qFormat/>
    <w:rsid w:val="00DE5E63"/>
    <w:pPr>
      <w:tabs>
        <w:tab w:val="left" w:pos="0"/>
        <w:tab w:val="left" w:pos="1440"/>
        <w:tab w:val="left" w:pos="5040"/>
      </w:tabs>
      <w:jc w:val="center"/>
    </w:pPr>
    <w:rPr>
      <w:i/>
      <w:snapToGrid w:val="0"/>
      <w:spacing w:val="-3"/>
    </w:rPr>
  </w:style>
  <w:style w:type="paragraph" w:styleId="BodyTextIndent">
    <w:name w:val="Body Text Indent"/>
    <w:basedOn w:val="Normal"/>
    <w:rsid w:val="00DE5E63"/>
    <w:pPr>
      <w:ind w:firstLine="720"/>
    </w:pPr>
    <w:rPr>
      <w:snapToGrid w:val="0"/>
    </w:rPr>
  </w:style>
  <w:style w:type="paragraph" w:styleId="BodyTextIndent3">
    <w:name w:val="Body Text Indent 3"/>
    <w:basedOn w:val="Normal"/>
    <w:rsid w:val="00DE5E63"/>
    <w:pPr>
      <w:suppressAutoHyphens w:val="0"/>
      <w:ind w:left="900" w:hanging="900"/>
    </w:pPr>
  </w:style>
  <w:style w:type="character" w:styleId="Hyperlink">
    <w:name w:val="Hyperlink"/>
    <w:basedOn w:val="DefaultParagraphFont"/>
    <w:rsid w:val="00DE5E63"/>
    <w:rPr>
      <w:color w:val="0000FF"/>
      <w:u w:val="single"/>
    </w:rPr>
  </w:style>
  <w:style w:type="paragraph" w:styleId="BodyText2">
    <w:name w:val="Body Text 2"/>
    <w:basedOn w:val="Normal"/>
    <w:rsid w:val="00DE5E63"/>
    <w:pPr>
      <w:suppressAutoHyphens w:val="0"/>
      <w:spacing w:line="480" w:lineRule="auto"/>
    </w:pPr>
  </w:style>
  <w:style w:type="paragraph" w:styleId="Header">
    <w:name w:val="header"/>
    <w:basedOn w:val="Normal"/>
    <w:link w:val="HeaderChar"/>
    <w:uiPriority w:val="99"/>
    <w:rsid w:val="00DE5E63"/>
    <w:pPr>
      <w:tabs>
        <w:tab w:val="center" w:pos="4320"/>
        <w:tab w:val="right" w:pos="8640"/>
      </w:tabs>
    </w:pPr>
  </w:style>
  <w:style w:type="paragraph" w:customStyle="1" w:styleId="1Category">
    <w:name w:val="__1 Category"/>
    <w:basedOn w:val="Normal"/>
    <w:next w:val="Normal"/>
    <w:rsid w:val="00DE5E63"/>
    <w:pPr>
      <w:keepNext/>
      <w:spacing w:before="460"/>
      <w:jc w:val="center"/>
    </w:pPr>
    <w:rPr>
      <w:b/>
      <w:bCs/>
      <w:smallCaps/>
      <w:sz w:val="28"/>
      <w14:shadow w14:blurRad="50800" w14:dist="38100" w14:dir="2700000" w14:sx="100000" w14:sy="100000" w14:kx="0" w14:ky="0" w14:algn="tl">
        <w14:srgbClr w14:val="000000">
          <w14:alpha w14:val="60000"/>
        </w14:srgbClr>
      </w14:shadow>
    </w:rPr>
  </w:style>
  <w:style w:type="paragraph" w:customStyle="1" w:styleId="2Subcat">
    <w:name w:val="__2 Subcat"/>
    <w:basedOn w:val="Normal"/>
    <w:rsid w:val="00DE5E63"/>
    <w:pPr>
      <w:keepNext/>
      <w:spacing w:before="260"/>
    </w:pPr>
    <w:rPr>
      <w:b/>
      <w:bCs/>
      <w:smallCaps/>
      <w:sz w:val="30"/>
      <w:u w:val="single"/>
      <w14:shadow w14:blurRad="50800" w14:dist="38100" w14:dir="2700000" w14:sx="100000" w14:sy="100000" w14:kx="0" w14:ky="0" w14:algn="tl">
        <w14:srgbClr w14:val="000000">
          <w14:alpha w14:val="60000"/>
        </w14:srgbClr>
      </w14:shadow>
    </w:rPr>
  </w:style>
  <w:style w:type="paragraph" w:customStyle="1" w:styleId="3Cases">
    <w:name w:val="__3 Cases"/>
    <w:basedOn w:val="BodyText"/>
    <w:rsid w:val="00DE5E63"/>
    <w:pPr>
      <w:keepNext/>
      <w:keepLines/>
      <w:spacing w:before="260" w:after="120" w:line="240" w:lineRule="auto"/>
      <w:outlineLvl w:val="2"/>
    </w:pPr>
    <w:rPr>
      <w:b/>
      <w:iCs/>
    </w:rPr>
  </w:style>
  <w:style w:type="paragraph" w:customStyle="1" w:styleId="4PlainDescription">
    <w:name w:val="__4 Plain Description"/>
    <w:basedOn w:val="Normal"/>
    <w:rsid w:val="00DE5E63"/>
    <w:pPr>
      <w:tabs>
        <w:tab w:val="left" w:pos="1080"/>
      </w:tabs>
      <w:spacing w:after="60"/>
    </w:pPr>
  </w:style>
  <w:style w:type="paragraph" w:customStyle="1" w:styleId="4Numbers">
    <w:name w:val="__4 Numbers"/>
    <w:basedOn w:val="4PlainDescription"/>
    <w:rsid w:val="00DE5E63"/>
    <w:pPr>
      <w:ind w:left="360" w:hanging="360"/>
    </w:pPr>
  </w:style>
  <w:style w:type="character" w:styleId="FollowedHyperlink">
    <w:name w:val="FollowedHyperlink"/>
    <w:basedOn w:val="DefaultParagraphFont"/>
    <w:rsid w:val="00DE5E63"/>
    <w:rPr>
      <w:color w:val="800080"/>
      <w:u w:val="single"/>
    </w:rPr>
  </w:style>
  <w:style w:type="paragraph" w:customStyle="1" w:styleId="Style1">
    <w:name w:val="Style1"/>
    <w:basedOn w:val="Normal"/>
    <w:rsid w:val="00DE5E63"/>
    <w:pPr>
      <w:tabs>
        <w:tab w:val="left" w:pos="720"/>
      </w:tabs>
      <w:suppressAutoHyphens w:val="0"/>
      <w:spacing w:line="480" w:lineRule="auto"/>
    </w:pPr>
  </w:style>
  <w:style w:type="paragraph" w:styleId="TOC1">
    <w:name w:val="toc 1"/>
    <w:basedOn w:val="Normal"/>
    <w:next w:val="Normal"/>
    <w:semiHidden/>
    <w:rsid w:val="00DE5E63"/>
    <w:pPr>
      <w:keepNext/>
      <w:tabs>
        <w:tab w:val="right" w:leader="dot" w:pos="5040"/>
      </w:tabs>
    </w:pPr>
    <w:rPr>
      <w:b/>
      <w:bCs/>
      <w:smallCaps/>
      <w:noProof/>
      <w:szCs w:val="28"/>
    </w:rPr>
  </w:style>
  <w:style w:type="paragraph" w:styleId="TOC2">
    <w:name w:val="toc 2"/>
    <w:basedOn w:val="Normal"/>
    <w:next w:val="Normal"/>
    <w:semiHidden/>
    <w:rsid w:val="00DE5E63"/>
    <w:pPr>
      <w:ind w:left="260"/>
    </w:pPr>
    <w:rPr>
      <w:sz w:val="20"/>
    </w:rPr>
  </w:style>
  <w:style w:type="paragraph" w:styleId="TOC3">
    <w:name w:val="toc 3"/>
    <w:basedOn w:val="Normal"/>
    <w:next w:val="Normal"/>
    <w:semiHidden/>
    <w:rsid w:val="00DE5E63"/>
    <w:pPr>
      <w:ind w:left="520"/>
    </w:pPr>
  </w:style>
  <w:style w:type="paragraph" w:styleId="TOC4">
    <w:name w:val="toc 4"/>
    <w:basedOn w:val="Normal"/>
    <w:next w:val="Normal"/>
    <w:semiHidden/>
    <w:rsid w:val="00DE5E63"/>
    <w:pPr>
      <w:ind w:left="780"/>
    </w:pPr>
  </w:style>
  <w:style w:type="paragraph" w:styleId="TOC5">
    <w:name w:val="toc 5"/>
    <w:basedOn w:val="Normal"/>
    <w:next w:val="Normal"/>
    <w:semiHidden/>
    <w:rsid w:val="00DE5E63"/>
    <w:pPr>
      <w:ind w:left="1040"/>
    </w:pPr>
  </w:style>
  <w:style w:type="paragraph" w:styleId="TOC6">
    <w:name w:val="toc 6"/>
    <w:basedOn w:val="Normal"/>
    <w:next w:val="Normal"/>
    <w:semiHidden/>
    <w:rsid w:val="00DE5E63"/>
    <w:pPr>
      <w:ind w:left="1300"/>
    </w:pPr>
  </w:style>
  <w:style w:type="paragraph" w:styleId="TOC7">
    <w:name w:val="toc 7"/>
    <w:basedOn w:val="Normal"/>
    <w:next w:val="Normal"/>
    <w:semiHidden/>
    <w:rsid w:val="00DE5E63"/>
    <w:pPr>
      <w:ind w:left="1560"/>
    </w:pPr>
  </w:style>
  <w:style w:type="paragraph" w:styleId="TOC8">
    <w:name w:val="toc 8"/>
    <w:basedOn w:val="Normal"/>
    <w:next w:val="Normal"/>
    <w:semiHidden/>
    <w:rsid w:val="00DE5E63"/>
    <w:pPr>
      <w:ind w:left="1820"/>
    </w:pPr>
  </w:style>
  <w:style w:type="paragraph" w:styleId="TOC9">
    <w:name w:val="toc 9"/>
    <w:basedOn w:val="Normal"/>
    <w:next w:val="Normal"/>
    <w:autoRedefine/>
    <w:semiHidden/>
    <w:rsid w:val="00DE5E63"/>
    <w:pPr>
      <w:ind w:left="2080"/>
    </w:pPr>
  </w:style>
  <w:style w:type="paragraph" w:styleId="Subtitle">
    <w:name w:val="Subtitle"/>
    <w:basedOn w:val="Normal"/>
    <w:qFormat/>
    <w:rsid w:val="00DE5E63"/>
    <w:rPr>
      <w:b/>
      <w:bCs/>
      <w:u w:val="single"/>
    </w:rPr>
  </w:style>
  <w:style w:type="paragraph" w:styleId="BodyText3">
    <w:name w:val="Body Text 3"/>
    <w:basedOn w:val="Normal"/>
    <w:rsid w:val="00DE5E63"/>
    <w:pPr>
      <w:suppressAutoHyphens w:val="0"/>
    </w:pPr>
    <w:rPr>
      <w:sz w:val="24"/>
      <w:szCs w:val="24"/>
    </w:rPr>
  </w:style>
  <w:style w:type="paragraph" w:customStyle="1" w:styleId="BlockQuote">
    <w:name w:val="Block Quote"/>
    <w:basedOn w:val="Normal"/>
    <w:next w:val="Normal"/>
    <w:rsid w:val="00DE5E63"/>
    <w:pPr>
      <w:suppressAutoHyphens w:val="0"/>
      <w:spacing w:after="240"/>
      <w:ind w:left="1440" w:right="1440"/>
    </w:pPr>
  </w:style>
  <w:style w:type="paragraph" w:styleId="ListBullet">
    <w:name w:val="List Bullet"/>
    <w:basedOn w:val="Normal"/>
    <w:autoRedefine/>
    <w:rsid w:val="00BD1948"/>
    <w:pPr>
      <w:suppressAutoHyphens w:val="0"/>
    </w:pPr>
  </w:style>
  <w:style w:type="character" w:customStyle="1" w:styleId="Heading2Char">
    <w:name w:val="Heading 2 Char"/>
    <w:basedOn w:val="DefaultParagraphFont"/>
    <w:link w:val="Heading2"/>
    <w:rsid w:val="00BA5D3B"/>
    <w:rPr>
      <w:b/>
      <w:sz w:val="26"/>
    </w:rPr>
  </w:style>
  <w:style w:type="character" w:customStyle="1" w:styleId="FootnoteTextChar">
    <w:name w:val="Footnote Text Char"/>
    <w:basedOn w:val="DefaultParagraphFont"/>
    <w:link w:val="FootnoteText"/>
    <w:semiHidden/>
    <w:rsid w:val="00DF7D88"/>
    <w:rPr>
      <w:sz w:val="26"/>
    </w:rPr>
  </w:style>
  <w:style w:type="character" w:customStyle="1" w:styleId="BodyTextChar">
    <w:name w:val="Body Text Char"/>
    <w:basedOn w:val="DefaultParagraphFont"/>
    <w:link w:val="BodyText"/>
    <w:rsid w:val="004263F8"/>
    <w:rPr>
      <w:sz w:val="26"/>
    </w:rPr>
  </w:style>
  <w:style w:type="paragraph" w:styleId="BalloonText">
    <w:name w:val="Balloon Text"/>
    <w:basedOn w:val="Normal"/>
    <w:link w:val="BalloonTextChar"/>
    <w:rsid w:val="00AB3A1C"/>
    <w:rPr>
      <w:rFonts w:ascii="Tahoma" w:hAnsi="Tahoma" w:cs="Tahoma"/>
      <w:sz w:val="16"/>
      <w:szCs w:val="16"/>
    </w:rPr>
  </w:style>
  <w:style w:type="character" w:customStyle="1" w:styleId="BalloonTextChar">
    <w:name w:val="Balloon Text Char"/>
    <w:basedOn w:val="DefaultParagraphFont"/>
    <w:link w:val="BalloonText"/>
    <w:rsid w:val="00AB3A1C"/>
    <w:rPr>
      <w:rFonts w:ascii="Tahoma" w:hAnsi="Tahoma" w:cs="Tahoma"/>
      <w:sz w:val="16"/>
      <w:szCs w:val="16"/>
    </w:rPr>
  </w:style>
  <w:style w:type="paragraph" w:styleId="ListParagraph">
    <w:name w:val="List Paragraph"/>
    <w:basedOn w:val="Normal"/>
    <w:uiPriority w:val="34"/>
    <w:qFormat/>
    <w:rsid w:val="00FF10A2"/>
    <w:pPr>
      <w:suppressAutoHyphens w:val="0"/>
      <w:spacing w:line="480" w:lineRule="auto"/>
      <w:ind w:left="720"/>
      <w:contextualSpacing/>
      <w:jc w:val="left"/>
    </w:pPr>
    <w:rPr>
      <w:szCs w:val="24"/>
    </w:rPr>
  </w:style>
  <w:style w:type="table" w:styleId="TableGrid">
    <w:name w:val="Table Grid"/>
    <w:basedOn w:val="TableNormal"/>
    <w:rsid w:val="00BF672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14D80"/>
    <w:pPr>
      <w:autoSpaceDE w:val="0"/>
      <w:autoSpaceDN w:val="0"/>
      <w:adjustRightInd w:val="0"/>
    </w:pPr>
    <w:rPr>
      <w:rFonts w:eastAsiaTheme="minorHAnsi"/>
      <w:color w:val="000000"/>
      <w:sz w:val="24"/>
      <w:szCs w:val="24"/>
    </w:rPr>
  </w:style>
  <w:style w:type="character" w:customStyle="1" w:styleId="HeaderChar">
    <w:name w:val="Header Char"/>
    <w:basedOn w:val="DefaultParagraphFont"/>
    <w:link w:val="Header"/>
    <w:uiPriority w:val="99"/>
    <w:rsid w:val="00214E2C"/>
    <w:rPr>
      <w:sz w:val="26"/>
    </w:rPr>
  </w:style>
  <w:style w:type="character" w:customStyle="1" w:styleId="FooterChar">
    <w:name w:val="Footer Char"/>
    <w:basedOn w:val="DefaultParagraphFont"/>
    <w:link w:val="Footer"/>
    <w:uiPriority w:val="99"/>
    <w:rsid w:val="00DB368E"/>
    <w:rPr>
      <w:snapToGrid w:val="0"/>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20C1"/>
    <w:pPr>
      <w:suppressAutoHyphens/>
      <w:jc w:val="both"/>
    </w:pPr>
    <w:rPr>
      <w:sz w:val="26"/>
    </w:rPr>
  </w:style>
  <w:style w:type="paragraph" w:styleId="Heading1">
    <w:name w:val="heading 1"/>
    <w:basedOn w:val="Normal"/>
    <w:next w:val="Normal"/>
    <w:qFormat/>
    <w:rsid w:val="00DE5E63"/>
    <w:pPr>
      <w:keepNext/>
      <w:outlineLvl w:val="0"/>
    </w:pPr>
    <w:rPr>
      <w:b/>
    </w:rPr>
  </w:style>
  <w:style w:type="paragraph" w:styleId="Heading2">
    <w:name w:val="heading 2"/>
    <w:basedOn w:val="Normal"/>
    <w:next w:val="Normal"/>
    <w:link w:val="Heading2Char"/>
    <w:qFormat/>
    <w:rsid w:val="00DE5E63"/>
    <w:pPr>
      <w:keepNext/>
      <w:jc w:val="center"/>
      <w:outlineLvl w:val="1"/>
    </w:pPr>
    <w:rPr>
      <w:b/>
    </w:rPr>
  </w:style>
  <w:style w:type="paragraph" w:styleId="Heading3">
    <w:name w:val="heading 3"/>
    <w:basedOn w:val="Normal"/>
    <w:next w:val="Normal"/>
    <w:qFormat/>
    <w:rsid w:val="00DE5E63"/>
    <w:pPr>
      <w:keepNext/>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DE5E63"/>
    <w:pPr>
      <w:framePr w:w="7920" w:h="1980" w:hRule="exact" w:hSpace="180" w:wrap="auto" w:hAnchor="page" w:xAlign="center" w:yAlign="bottom"/>
      <w:ind w:left="2448" w:right="-2880"/>
      <w:jc w:val="left"/>
    </w:pPr>
    <w:rPr>
      <w:caps/>
      <w:sz w:val="22"/>
    </w:rPr>
  </w:style>
  <w:style w:type="paragraph" w:styleId="EnvelopeReturn">
    <w:name w:val="envelope return"/>
    <w:basedOn w:val="Normal"/>
    <w:rsid w:val="00DE5E63"/>
    <w:rPr>
      <w:caps/>
      <w:sz w:val="20"/>
    </w:rPr>
  </w:style>
  <w:style w:type="paragraph" w:styleId="BlockText">
    <w:name w:val="Block Text"/>
    <w:basedOn w:val="Normal"/>
    <w:rsid w:val="00DE5E63"/>
    <w:pPr>
      <w:ind w:left="720" w:right="720"/>
    </w:pPr>
  </w:style>
  <w:style w:type="paragraph" w:styleId="FootnoteText">
    <w:name w:val="footnote text"/>
    <w:basedOn w:val="Normal"/>
    <w:link w:val="FootnoteTextChar"/>
    <w:semiHidden/>
    <w:rsid w:val="00DE5E63"/>
  </w:style>
  <w:style w:type="character" w:styleId="FootnoteReference">
    <w:name w:val="footnote reference"/>
    <w:basedOn w:val="DefaultParagraphFont"/>
    <w:semiHidden/>
    <w:rsid w:val="00DE5E63"/>
    <w:rPr>
      <w:rFonts w:ascii="Times New Roman" w:hAnsi="Times New Roman"/>
      <w:sz w:val="26"/>
      <w:vertAlign w:val="superscript"/>
    </w:rPr>
  </w:style>
  <w:style w:type="paragraph" w:styleId="Footer">
    <w:name w:val="footer"/>
    <w:basedOn w:val="Normal"/>
    <w:link w:val="FooterChar"/>
    <w:uiPriority w:val="99"/>
    <w:rsid w:val="00DE5E63"/>
    <w:pPr>
      <w:tabs>
        <w:tab w:val="center" w:pos="4320"/>
        <w:tab w:val="right" w:pos="8640"/>
      </w:tabs>
      <w:suppressAutoHyphens w:val="0"/>
    </w:pPr>
    <w:rPr>
      <w:snapToGrid w:val="0"/>
    </w:rPr>
  </w:style>
  <w:style w:type="paragraph" w:styleId="BodyText">
    <w:name w:val="Body Text"/>
    <w:basedOn w:val="Normal"/>
    <w:link w:val="BodyTextChar"/>
    <w:rsid w:val="00DE5E63"/>
    <w:pPr>
      <w:spacing w:line="480" w:lineRule="auto"/>
    </w:pPr>
  </w:style>
  <w:style w:type="paragraph" w:styleId="BodyTextIndent2">
    <w:name w:val="Body Text Indent 2"/>
    <w:basedOn w:val="Normal"/>
    <w:rsid w:val="00DE5E63"/>
    <w:pPr>
      <w:suppressAutoHyphens w:val="0"/>
      <w:ind w:firstLine="720"/>
    </w:pPr>
    <w:rPr>
      <w:snapToGrid w:val="0"/>
    </w:rPr>
  </w:style>
  <w:style w:type="character" w:styleId="PageNumber">
    <w:name w:val="page number"/>
    <w:basedOn w:val="DefaultParagraphFont"/>
    <w:rsid w:val="00DE5E63"/>
    <w:rPr>
      <w:rFonts w:ascii="Times New Roman" w:hAnsi="Times New Roman"/>
      <w:sz w:val="26"/>
    </w:rPr>
  </w:style>
  <w:style w:type="paragraph" w:styleId="Title">
    <w:name w:val="Title"/>
    <w:basedOn w:val="Normal"/>
    <w:qFormat/>
    <w:rsid w:val="00DE5E63"/>
    <w:pPr>
      <w:tabs>
        <w:tab w:val="left" w:pos="0"/>
        <w:tab w:val="left" w:pos="1440"/>
        <w:tab w:val="left" w:pos="5040"/>
      </w:tabs>
      <w:jc w:val="center"/>
    </w:pPr>
    <w:rPr>
      <w:i/>
      <w:snapToGrid w:val="0"/>
      <w:spacing w:val="-3"/>
    </w:rPr>
  </w:style>
  <w:style w:type="paragraph" w:styleId="BodyTextIndent">
    <w:name w:val="Body Text Indent"/>
    <w:basedOn w:val="Normal"/>
    <w:rsid w:val="00DE5E63"/>
    <w:pPr>
      <w:ind w:firstLine="720"/>
    </w:pPr>
    <w:rPr>
      <w:snapToGrid w:val="0"/>
    </w:rPr>
  </w:style>
  <w:style w:type="paragraph" w:styleId="BodyTextIndent3">
    <w:name w:val="Body Text Indent 3"/>
    <w:basedOn w:val="Normal"/>
    <w:rsid w:val="00DE5E63"/>
    <w:pPr>
      <w:suppressAutoHyphens w:val="0"/>
      <w:ind w:left="900" w:hanging="900"/>
    </w:pPr>
  </w:style>
  <w:style w:type="character" w:styleId="Hyperlink">
    <w:name w:val="Hyperlink"/>
    <w:basedOn w:val="DefaultParagraphFont"/>
    <w:rsid w:val="00DE5E63"/>
    <w:rPr>
      <w:color w:val="0000FF"/>
      <w:u w:val="single"/>
    </w:rPr>
  </w:style>
  <w:style w:type="paragraph" w:styleId="BodyText2">
    <w:name w:val="Body Text 2"/>
    <w:basedOn w:val="Normal"/>
    <w:rsid w:val="00DE5E63"/>
    <w:pPr>
      <w:suppressAutoHyphens w:val="0"/>
      <w:spacing w:line="480" w:lineRule="auto"/>
    </w:pPr>
  </w:style>
  <w:style w:type="paragraph" w:styleId="Header">
    <w:name w:val="header"/>
    <w:basedOn w:val="Normal"/>
    <w:link w:val="HeaderChar"/>
    <w:uiPriority w:val="99"/>
    <w:rsid w:val="00DE5E63"/>
    <w:pPr>
      <w:tabs>
        <w:tab w:val="center" w:pos="4320"/>
        <w:tab w:val="right" w:pos="8640"/>
      </w:tabs>
    </w:pPr>
  </w:style>
  <w:style w:type="paragraph" w:customStyle="1" w:styleId="1Category">
    <w:name w:val="__1 Category"/>
    <w:basedOn w:val="Normal"/>
    <w:next w:val="Normal"/>
    <w:rsid w:val="00DE5E63"/>
    <w:pPr>
      <w:keepNext/>
      <w:spacing w:before="460"/>
      <w:jc w:val="center"/>
    </w:pPr>
    <w:rPr>
      <w:b/>
      <w:bCs/>
      <w:smallCaps/>
      <w:sz w:val="28"/>
      <w14:shadow w14:blurRad="50800" w14:dist="38100" w14:dir="2700000" w14:sx="100000" w14:sy="100000" w14:kx="0" w14:ky="0" w14:algn="tl">
        <w14:srgbClr w14:val="000000">
          <w14:alpha w14:val="60000"/>
        </w14:srgbClr>
      </w14:shadow>
    </w:rPr>
  </w:style>
  <w:style w:type="paragraph" w:customStyle="1" w:styleId="2Subcat">
    <w:name w:val="__2 Subcat"/>
    <w:basedOn w:val="Normal"/>
    <w:rsid w:val="00DE5E63"/>
    <w:pPr>
      <w:keepNext/>
      <w:spacing w:before="260"/>
    </w:pPr>
    <w:rPr>
      <w:b/>
      <w:bCs/>
      <w:smallCaps/>
      <w:sz w:val="30"/>
      <w:u w:val="single"/>
      <w14:shadow w14:blurRad="50800" w14:dist="38100" w14:dir="2700000" w14:sx="100000" w14:sy="100000" w14:kx="0" w14:ky="0" w14:algn="tl">
        <w14:srgbClr w14:val="000000">
          <w14:alpha w14:val="60000"/>
        </w14:srgbClr>
      </w14:shadow>
    </w:rPr>
  </w:style>
  <w:style w:type="paragraph" w:customStyle="1" w:styleId="3Cases">
    <w:name w:val="__3 Cases"/>
    <w:basedOn w:val="BodyText"/>
    <w:rsid w:val="00DE5E63"/>
    <w:pPr>
      <w:keepNext/>
      <w:keepLines/>
      <w:spacing w:before="260" w:after="120" w:line="240" w:lineRule="auto"/>
      <w:outlineLvl w:val="2"/>
    </w:pPr>
    <w:rPr>
      <w:b/>
      <w:iCs/>
    </w:rPr>
  </w:style>
  <w:style w:type="paragraph" w:customStyle="1" w:styleId="4PlainDescription">
    <w:name w:val="__4 Plain Description"/>
    <w:basedOn w:val="Normal"/>
    <w:rsid w:val="00DE5E63"/>
    <w:pPr>
      <w:tabs>
        <w:tab w:val="left" w:pos="1080"/>
      </w:tabs>
      <w:spacing w:after="60"/>
    </w:pPr>
  </w:style>
  <w:style w:type="paragraph" w:customStyle="1" w:styleId="4Numbers">
    <w:name w:val="__4 Numbers"/>
    <w:basedOn w:val="4PlainDescription"/>
    <w:rsid w:val="00DE5E63"/>
    <w:pPr>
      <w:ind w:left="360" w:hanging="360"/>
    </w:pPr>
  </w:style>
  <w:style w:type="character" w:styleId="FollowedHyperlink">
    <w:name w:val="FollowedHyperlink"/>
    <w:basedOn w:val="DefaultParagraphFont"/>
    <w:rsid w:val="00DE5E63"/>
    <w:rPr>
      <w:color w:val="800080"/>
      <w:u w:val="single"/>
    </w:rPr>
  </w:style>
  <w:style w:type="paragraph" w:customStyle="1" w:styleId="Style1">
    <w:name w:val="Style1"/>
    <w:basedOn w:val="Normal"/>
    <w:rsid w:val="00DE5E63"/>
    <w:pPr>
      <w:tabs>
        <w:tab w:val="left" w:pos="720"/>
      </w:tabs>
      <w:suppressAutoHyphens w:val="0"/>
      <w:spacing w:line="480" w:lineRule="auto"/>
    </w:pPr>
  </w:style>
  <w:style w:type="paragraph" w:styleId="TOC1">
    <w:name w:val="toc 1"/>
    <w:basedOn w:val="Normal"/>
    <w:next w:val="Normal"/>
    <w:semiHidden/>
    <w:rsid w:val="00DE5E63"/>
    <w:pPr>
      <w:keepNext/>
      <w:tabs>
        <w:tab w:val="right" w:leader="dot" w:pos="5040"/>
      </w:tabs>
    </w:pPr>
    <w:rPr>
      <w:b/>
      <w:bCs/>
      <w:smallCaps/>
      <w:noProof/>
      <w:szCs w:val="28"/>
    </w:rPr>
  </w:style>
  <w:style w:type="paragraph" w:styleId="TOC2">
    <w:name w:val="toc 2"/>
    <w:basedOn w:val="Normal"/>
    <w:next w:val="Normal"/>
    <w:semiHidden/>
    <w:rsid w:val="00DE5E63"/>
    <w:pPr>
      <w:ind w:left="260"/>
    </w:pPr>
    <w:rPr>
      <w:sz w:val="20"/>
    </w:rPr>
  </w:style>
  <w:style w:type="paragraph" w:styleId="TOC3">
    <w:name w:val="toc 3"/>
    <w:basedOn w:val="Normal"/>
    <w:next w:val="Normal"/>
    <w:semiHidden/>
    <w:rsid w:val="00DE5E63"/>
    <w:pPr>
      <w:ind w:left="520"/>
    </w:pPr>
  </w:style>
  <w:style w:type="paragraph" w:styleId="TOC4">
    <w:name w:val="toc 4"/>
    <w:basedOn w:val="Normal"/>
    <w:next w:val="Normal"/>
    <w:semiHidden/>
    <w:rsid w:val="00DE5E63"/>
    <w:pPr>
      <w:ind w:left="780"/>
    </w:pPr>
  </w:style>
  <w:style w:type="paragraph" w:styleId="TOC5">
    <w:name w:val="toc 5"/>
    <w:basedOn w:val="Normal"/>
    <w:next w:val="Normal"/>
    <w:semiHidden/>
    <w:rsid w:val="00DE5E63"/>
    <w:pPr>
      <w:ind w:left="1040"/>
    </w:pPr>
  </w:style>
  <w:style w:type="paragraph" w:styleId="TOC6">
    <w:name w:val="toc 6"/>
    <w:basedOn w:val="Normal"/>
    <w:next w:val="Normal"/>
    <w:semiHidden/>
    <w:rsid w:val="00DE5E63"/>
    <w:pPr>
      <w:ind w:left="1300"/>
    </w:pPr>
  </w:style>
  <w:style w:type="paragraph" w:styleId="TOC7">
    <w:name w:val="toc 7"/>
    <w:basedOn w:val="Normal"/>
    <w:next w:val="Normal"/>
    <w:semiHidden/>
    <w:rsid w:val="00DE5E63"/>
    <w:pPr>
      <w:ind w:left="1560"/>
    </w:pPr>
  </w:style>
  <w:style w:type="paragraph" w:styleId="TOC8">
    <w:name w:val="toc 8"/>
    <w:basedOn w:val="Normal"/>
    <w:next w:val="Normal"/>
    <w:semiHidden/>
    <w:rsid w:val="00DE5E63"/>
    <w:pPr>
      <w:ind w:left="1820"/>
    </w:pPr>
  </w:style>
  <w:style w:type="paragraph" w:styleId="TOC9">
    <w:name w:val="toc 9"/>
    <w:basedOn w:val="Normal"/>
    <w:next w:val="Normal"/>
    <w:autoRedefine/>
    <w:semiHidden/>
    <w:rsid w:val="00DE5E63"/>
    <w:pPr>
      <w:ind w:left="2080"/>
    </w:pPr>
  </w:style>
  <w:style w:type="paragraph" w:styleId="Subtitle">
    <w:name w:val="Subtitle"/>
    <w:basedOn w:val="Normal"/>
    <w:qFormat/>
    <w:rsid w:val="00DE5E63"/>
    <w:rPr>
      <w:b/>
      <w:bCs/>
      <w:u w:val="single"/>
    </w:rPr>
  </w:style>
  <w:style w:type="paragraph" w:styleId="BodyText3">
    <w:name w:val="Body Text 3"/>
    <w:basedOn w:val="Normal"/>
    <w:rsid w:val="00DE5E63"/>
    <w:pPr>
      <w:suppressAutoHyphens w:val="0"/>
    </w:pPr>
    <w:rPr>
      <w:sz w:val="24"/>
      <w:szCs w:val="24"/>
    </w:rPr>
  </w:style>
  <w:style w:type="paragraph" w:customStyle="1" w:styleId="BlockQuote">
    <w:name w:val="Block Quote"/>
    <w:basedOn w:val="Normal"/>
    <w:next w:val="Normal"/>
    <w:rsid w:val="00DE5E63"/>
    <w:pPr>
      <w:suppressAutoHyphens w:val="0"/>
      <w:spacing w:after="240"/>
      <w:ind w:left="1440" w:right="1440"/>
    </w:pPr>
  </w:style>
  <w:style w:type="paragraph" w:styleId="ListBullet">
    <w:name w:val="List Bullet"/>
    <w:basedOn w:val="Normal"/>
    <w:autoRedefine/>
    <w:rsid w:val="00BD1948"/>
    <w:pPr>
      <w:suppressAutoHyphens w:val="0"/>
    </w:pPr>
  </w:style>
  <w:style w:type="character" w:customStyle="1" w:styleId="Heading2Char">
    <w:name w:val="Heading 2 Char"/>
    <w:basedOn w:val="DefaultParagraphFont"/>
    <w:link w:val="Heading2"/>
    <w:rsid w:val="00BA5D3B"/>
    <w:rPr>
      <w:b/>
      <w:sz w:val="26"/>
    </w:rPr>
  </w:style>
  <w:style w:type="character" w:customStyle="1" w:styleId="FootnoteTextChar">
    <w:name w:val="Footnote Text Char"/>
    <w:basedOn w:val="DefaultParagraphFont"/>
    <w:link w:val="FootnoteText"/>
    <w:semiHidden/>
    <w:rsid w:val="00DF7D88"/>
    <w:rPr>
      <w:sz w:val="26"/>
    </w:rPr>
  </w:style>
  <w:style w:type="character" w:customStyle="1" w:styleId="BodyTextChar">
    <w:name w:val="Body Text Char"/>
    <w:basedOn w:val="DefaultParagraphFont"/>
    <w:link w:val="BodyText"/>
    <w:rsid w:val="004263F8"/>
    <w:rPr>
      <w:sz w:val="26"/>
    </w:rPr>
  </w:style>
  <w:style w:type="paragraph" w:styleId="BalloonText">
    <w:name w:val="Balloon Text"/>
    <w:basedOn w:val="Normal"/>
    <w:link w:val="BalloonTextChar"/>
    <w:rsid w:val="00AB3A1C"/>
    <w:rPr>
      <w:rFonts w:ascii="Tahoma" w:hAnsi="Tahoma" w:cs="Tahoma"/>
      <w:sz w:val="16"/>
      <w:szCs w:val="16"/>
    </w:rPr>
  </w:style>
  <w:style w:type="character" w:customStyle="1" w:styleId="BalloonTextChar">
    <w:name w:val="Balloon Text Char"/>
    <w:basedOn w:val="DefaultParagraphFont"/>
    <w:link w:val="BalloonText"/>
    <w:rsid w:val="00AB3A1C"/>
    <w:rPr>
      <w:rFonts w:ascii="Tahoma" w:hAnsi="Tahoma" w:cs="Tahoma"/>
      <w:sz w:val="16"/>
      <w:szCs w:val="16"/>
    </w:rPr>
  </w:style>
  <w:style w:type="paragraph" w:styleId="ListParagraph">
    <w:name w:val="List Paragraph"/>
    <w:basedOn w:val="Normal"/>
    <w:uiPriority w:val="34"/>
    <w:qFormat/>
    <w:rsid w:val="00FF10A2"/>
    <w:pPr>
      <w:suppressAutoHyphens w:val="0"/>
      <w:spacing w:line="480" w:lineRule="auto"/>
      <w:ind w:left="720"/>
      <w:contextualSpacing/>
      <w:jc w:val="left"/>
    </w:pPr>
    <w:rPr>
      <w:szCs w:val="24"/>
    </w:rPr>
  </w:style>
  <w:style w:type="table" w:styleId="TableGrid">
    <w:name w:val="Table Grid"/>
    <w:basedOn w:val="TableNormal"/>
    <w:rsid w:val="00BF672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14D80"/>
    <w:pPr>
      <w:autoSpaceDE w:val="0"/>
      <w:autoSpaceDN w:val="0"/>
      <w:adjustRightInd w:val="0"/>
    </w:pPr>
    <w:rPr>
      <w:rFonts w:eastAsiaTheme="minorHAnsi"/>
      <w:color w:val="000000"/>
      <w:sz w:val="24"/>
      <w:szCs w:val="24"/>
    </w:rPr>
  </w:style>
  <w:style w:type="character" w:customStyle="1" w:styleId="HeaderChar">
    <w:name w:val="Header Char"/>
    <w:basedOn w:val="DefaultParagraphFont"/>
    <w:link w:val="Header"/>
    <w:uiPriority w:val="99"/>
    <w:rsid w:val="00214E2C"/>
    <w:rPr>
      <w:sz w:val="26"/>
    </w:rPr>
  </w:style>
  <w:style w:type="character" w:customStyle="1" w:styleId="FooterChar">
    <w:name w:val="Footer Char"/>
    <w:basedOn w:val="DefaultParagraphFont"/>
    <w:link w:val="Footer"/>
    <w:uiPriority w:val="99"/>
    <w:rsid w:val="00DB368E"/>
    <w:rPr>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16549">
      <w:bodyDiv w:val="1"/>
      <w:marLeft w:val="0"/>
      <w:marRight w:val="0"/>
      <w:marTop w:val="0"/>
      <w:marBottom w:val="0"/>
      <w:divBdr>
        <w:top w:val="none" w:sz="0" w:space="0" w:color="auto"/>
        <w:left w:val="none" w:sz="0" w:space="0" w:color="auto"/>
        <w:bottom w:val="none" w:sz="0" w:space="0" w:color="auto"/>
        <w:right w:val="none" w:sz="0" w:space="0" w:color="auto"/>
      </w:divBdr>
    </w:div>
    <w:div w:id="156116489">
      <w:bodyDiv w:val="1"/>
      <w:marLeft w:val="0"/>
      <w:marRight w:val="0"/>
      <w:marTop w:val="0"/>
      <w:marBottom w:val="0"/>
      <w:divBdr>
        <w:top w:val="none" w:sz="0" w:space="0" w:color="auto"/>
        <w:left w:val="none" w:sz="0" w:space="0" w:color="auto"/>
        <w:bottom w:val="none" w:sz="0" w:space="0" w:color="auto"/>
        <w:right w:val="none" w:sz="0" w:space="0" w:color="auto"/>
      </w:divBdr>
    </w:div>
    <w:div w:id="202330930">
      <w:bodyDiv w:val="1"/>
      <w:marLeft w:val="0"/>
      <w:marRight w:val="0"/>
      <w:marTop w:val="0"/>
      <w:marBottom w:val="0"/>
      <w:divBdr>
        <w:top w:val="none" w:sz="0" w:space="0" w:color="auto"/>
        <w:left w:val="none" w:sz="0" w:space="0" w:color="auto"/>
        <w:bottom w:val="none" w:sz="0" w:space="0" w:color="auto"/>
        <w:right w:val="none" w:sz="0" w:space="0" w:color="auto"/>
      </w:divBdr>
    </w:div>
    <w:div w:id="202789568">
      <w:bodyDiv w:val="1"/>
      <w:marLeft w:val="0"/>
      <w:marRight w:val="0"/>
      <w:marTop w:val="0"/>
      <w:marBottom w:val="0"/>
      <w:divBdr>
        <w:top w:val="none" w:sz="0" w:space="0" w:color="auto"/>
        <w:left w:val="none" w:sz="0" w:space="0" w:color="auto"/>
        <w:bottom w:val="none" w:sz="0" w:space="0" w:color="auto"/>
        <w:right w:val="none" w:sz="0" w:space="0" w:color="auto"/>
      </w:divBdr>
    </w:div>
    <w:div w:id="215049588">
      <w:bodyDiv w:val="1"/>
      <w:marLeft w:val="0"/>
      <w:marRight w:val="0"/>
      <w:marTop w:val="0"/>
      <w:marBottom w:val="0"/>
      <w:divBdr>
        <w:top w:val="none" w:sz="0" w:space="0" w:color="auto"/>
        <w:left w:val="none" w:sz="0" w:space="0" w:color="auto"/>
        <w:bottom w:val="none" w:sz="0" w:space="0" w:color="auto"/>
        <w:right w:val="none" w:sz="0" w:space="0" w:color="auto"/>
      </w:divBdr>
    </w:div>
    <w:div w:id="295717492">
      <w:bodyDiv w:val="1"/>
      <w:marLeft w:val="30"/>
      <w:marRight w:val="30"/>
      <w:marTop w:val="30"/>
      <w:marBottom w:val="30"/>
      <w:divBdr>
        <w:top w:val="none" w:sz="0" w:space="0" w:color="auto"/>
        <w:left w:val="none" w:sz="0" w:space="0" w:color="auto"/>
        <w:bottom w:val="none" w:sz="0" w:space="0" w:color="auto"/>
        <w:right w:val="none" w:sz="0" w:space="0" w:color="auto"/>
      </w:divBdr>
      <w:divsChild>
        <w:div w:id="1545942290">
          <w:marLeft w:val="0"/>
          <w:marRight w:val="0"/>
          <w:marTop w:val="0"/>
          <w:marBottom w:val="0"/>
          <w:divBdr>
            <w:top w:val="none" w:sz="0" w:space="0" w:color="auto"/>
            <w:left w:val="none" w:sz="0" w:space="0" w:color="auto"/>
            <w:bottom w:val="none" w:sz="0" w:space="0" w:color="auto"/>
            <w:right w:val="none" w:sz="0" w:space="0" w:color="auto"/>
          </w:divBdr>
          <w:divsChild>
            <w:div w:id="1289968739">
              <w:marLeft w:val="45"/>
              <w:marRight w:val="45"/>
              <w:marTop w:val="45"/>
              <w:marBottom w:val="45"/>
              <w:divBdr>
                <w:top w:val="none" w:sz="0" w:space="0" w:color="auto"/>
                <w:left w:val="none" w:sz="0" w:space="0" w:color="auto"/>
                <w:bottom w:val="none" w:sz="0" w:space="0" w:color="auto"/>
                <w:right w:val="none" w:sz="0" w:space="0" w:color="auto"/>
              </w:divBdr>
              <w:divsChild>
                <w:div w:id="1083407944">
                  <w:marLeft w:val="0"/>
                  <w:marRight w:val="0"/>
                  <w:marTop w:val="0"/>
                  <w:marBottom w:val="0"/>
                  <w:divBdr>
                    <w:top w:val="none" w:sz="0" w:space="0" w:color="auto"/>
                    <w:left w:val="none" w:sz="0" w:space="0" w:color="auto"/>
                    <w:bottom w:val="none" w:sz="0" w:space="0" w:color="auto"/>
                    <w:right w:val="none" w:sz="0" w:space="0" w:color="auto"/>
                  </w:divBdr>
                  <w:divsChild>
                    <w:div w:id="1251354200">
                      <w:marLeft w:val="0"/>
                      <w:marRight w:val="0"/>
                      <w:marTop w:val="0"/>
                      <w:marBottom w:val="0"/>
                      <w:divBdr>
                        <w:top w:val="none" w:sz="0" w:space="0" w:color="auto"/>
                        <w:left w:val="none" w:sz="0" w:space="0" w:color="auto"/>
                        <w:bottom w:val="none" w:sz="0" w:space="0" w:color="auto"/>
                        <w:right w:val="none" w:sz="0" w:space="0" w:color="auto"/>
                      </w:divBdr>
                    </w:div>
                    <w:div w:id="59298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631023">
      <w:bodyDiv w:val="1"/>
      <w:marLeft w:val="0"/>
      <w:marRight w:val="0"/>
      <w:marTop w:val="0"/>
      <w:marBottom w:val="0"/>
      <w:divBdr>
        <w:top w:val="none" w:sz="0" w:space="0" w:color="auto"/>
        <w:left w:val="none" w:sz="0" w:space="0" w:color="auto"/>
        <w:bottom w:val="none" w:sz="0" w:space="0" w:color="auto"/>
        <w:right w:val="none" w:sz="0" w:space="0" w:color="auto"/>
      </w:divBdr>
    </w:div>
    <w:div w:id="458455231">
      <w:bodyDiv w:val="1"/>
      <w:marLeft w:val="0"/>
      <w:marRight w:val="0"/>
      <w:marTop w:val="0"/>
      <w:marBottom w:val="0"/>
      <w:divBdr>
        <w:top w:val="none" w:sz="0" w:space="0" w:color="auto"/>
        <w:left w:val="none" w:sz="0" w:space="0" w:color="auto"/>
        <w:bottom w:val="none" w:sz="0" w:space="0" w:color="auto"/>
        <w:right w:val="none" w:sz="0" w:space="0" w:color="auto"/>
      </w:divBdr>
    </w:div>
    <w:div w:id="489642364">
      <w:bodyDiv w:val="1"/>
      <w:marLeft w:val="0"/>
      <w:marRight w:val="0"/>
      <w:marTop w:val="0"/>
      <w:marBottom w:val="0"/>
      <w:divBdr>
        <w:top w:val="none" w:sz="0" w:space="0" w:color="auto"/>
        <w:left w:val="none" w:sz="0" w:space="0" w:color="auto"/>
        <w:bottom w:val="none" w:sz="0" w:space="0" w:color="auto"/>
        <w:right w:val="none" w:sz="0" w:space="0" w:color="auto"/>
      </w:divBdr>
    </w:div>
    <w:div w:id="502864888">
      <w:bodyDiv w:val="1"/>
      <w:marLeft w:val="0"/>
      <w:marRight w:val="0"/>
      <w:marTop w:val="0"/>
      <w:marBottom w:val="0"/>
      <w:divBdr>
        <w:top w:val="none" w:sz="0" w:space="0" w:color="auto"/>
        <w:left w:val="none" w:sz="0" w:space="0" w:color="auto"/>
        <w:bottom w:val="none" w:sz="0" w:space="0" w:color="auto"/>
        <w:right w:val="none" w:sz="0" w:space="0" w:color="auto"/>
      </w:divBdr>
      <w:divsChild>
        <w:div w:id="2130077163">
          <w:marLeft w:val="0"/>
          <w:marRight w:val="0"/>
          <w:marTop w:val="0"/>
          <w:marBottom w:val="0"/>
          <w:divBdr>
            <w:top w:val="none" w:sz="0" w:space="0" w:color="auto"/>
            <w:left w:val="single" w:sz="6" w:space="0" w:color="BBBBBB"/>
            <w:bottom w:val="single" w:sz="6" w:space="0" w:color="BBBBBB"/>
            <w:right w:val="single" w:sz="6" w:space="0" w:color="BBBBBB"/>
          </w:divBdr>
          <w:divsChild>
            <w:div w:id="1215045948">
              <w:marLeft w:val="0"/>
              <w:marRight w:val="0"/>
              <w:marTop w:val="0"/>
              <w:marBottom w:val="0"/>
              <w:divBdr>
                <w:top w:val="none" w:sz="0" w:space="0" w:color="auto"/>
                <w:left w:val="none" w:sz="0" w:space="0" w:color="auto"/>
                <w:bottom w:val="none" w:sz="0" w:space="0" w:color="auto"/>
                <w:right w:val="none" w:sz="0" w:space="0" w:color="auto"/>
              </w:divBdr>
              <w:divsChild>
                <w:div w:id="976640535">
                  <w:marLeft w:val="0"/>
                  <w:marRight w:val="0"/>
                  <w:marTop w:val="0"/>
                  <w:marBottom w:val="0"/>
                  <w:divBdr>
                    <w:top w:val="none" w:sz="0" w:space="0" w:color="auto"/>
                    <w:left w:val="none" w:sz="0" w:space="0" w:color="auto"/>
                    <w:bottom w:val="none" w:sz="0" w:space="0" w:color="auto"/>
                    <w:right w:val="none" w:sz="0" w:space="0" w:color="auto"/>
                  </w:divBdr>
                  <w:divsChild>
                    <w:div w:id="1081760816">
                      <w:marLeft w:val="0"/>
                      <w:marRight w:val="0"/>
                      <w:marTop w:val="0"/>
                      <w:marBottom w:val="0"/>
                      <w:divBdr>
                        <w:top w:val="none" w:sz="0" w:space="0" w:color="auto"/>
                        <w:left w:val="none" w:sz="0" w:space="0" w:color="auto"/>
                        <w:bottom w:val="none" w:sz="0" w:space="0" w:color="auto"/>
                        <w:right w:val="none" w:sz="0" w:space="0" w:color="auto"/>
                      </w:divBdr>
                      <w:divsChild>
                        <w:div w:id="1780701">
                          <w:marLeft w:val="0"/>
                          <w:marRight w:val="0"/>
                          <w:marTop w:val="0"/>
                          <w:marBottom w:val="0"/>
                          <w:divBdr>
                            <w:top w:val="none" w:sz="0" w:space="0" w:color="auto"/>
                            <w:left w:val="none" w:sz="0" w:space="0" w:color="auto"/>
                            <w:bottom w:val="none" w:sz="0" w:space="0" w:color="auto"/>
                            <w:right w:val="none" w:sz="0" w:space="0" w:color="auto"/>
                          </w:divBdr>
                          <w:divsChild>
                            <w:div w:id="545718582">
                              <w:marLeft w:val="0"/>
                              <w:marRight w:val="0"/>
                              <w:marTop w:val="0"/>
                              <w:marBottom w:val="0"/>
                              <w:divBdr>
                                <w:top w:val="none" w:sz="0" w:space="0" w:color="auto"/>
                                <w:left w:val="none" w:sz="0" w:space="0" w:color="auto"/>
                                <w:bottom w:val="none" w:sz="0" w:space="0" w:color="auto"/>
                                <w:right w:val="none" w:sz="0" w:space="0" w:color="auto"/>
                              </w:divBdr>
                              <w:divsChild>
                                <w:div w:id="161773857">
                                  <w:marLeft w:val="0"/>
                                  <w:marRight w:val="0"/>
                                  <w:marTop w:val="0"/>
                                  <w:marBottom w:val="0"/>
                                  <w:divBdr>
                                    <w:top w:val="none" w:sz="0" w:space="0" w:color="auto"/>
                                    <w:left w:val="none" w:sz="0" w:space="0" w:color="auto"/>
                                    <w:bottom w:val="none" w:sz="0" w:space="0" w:color="auto"/>
                                    <w:right w:val="none" w:sz="0" w:space="0" w:color="auto"/>
                                  </w:divBdr>
                                  <w:divsChild>
                                    <w:div w:id="157893517">
                                      <w:marLeft w:val="0"/>
                                      <w:marRight w:val="0"/>
                                      <w:marTop w:val="0"/>
                                      <w:marBottom w:val="0"/>
                                      <w:divBdr>
                                        <w:top w:val="none" w:sz="0" w:space="0" w:color="auto"/>
                                        <w:left w:val="none" w:sz="0" w:space="0" w:color="auto"/>
                                        <w:bottom w:val="none" w:sz="0" w:space="0" w:color="auto"/>
                                        <w:right w:val="none" w:sz="0" w:space="0" w:color="auto"/>
                                      </w:divBdr>
                                      <w:divsChild>
                                        <w:div w:id="1474634374">
                                          <w:marLeft w:val="1200"/>
                                          <w:marRight w:val="1200"/>
                                          <w:marTop w:val="0"/>
                                          <w:marBottom w:val="0"/>
                                          <w:divBdr>
                                            <w:top w:val="none" w:sz="0" w:space="0" w:color="auto"/>
                                            <w:left w:val="none" w:sz="0" w:space="0" w:color="auto"/>
                                            <w:bottom w:val="none" w:sz="0" w:space="0" w:color="auto"/>
                                            <w:right w:val="none" w:sz="0" w:space="0" w:color="auto"/>
                                          </w:divBdr>
                                          <w:divsChild>
                                            <w:div w:id="1312712763">
                                              <w:marLeft w:val="0"/>
                                              <w:marRight w:val="0"/>
                                              <w:marTop w:val="0"/>
                                              <w:marBottom w:val="0"/>
                                              <w:divBdr>
                                                <w:top w:val="none" w:sz="0" w:space="0" w:color="auto"/>
                                                <w:left w:val="none" w:sz="0" w:space="0" w:color="auto"/>
                                                <w:bottom w:val="none" w:sz="0" w:space="0" w:color="auto"/>
                                                <w:right w:val="none" w:sz="0" w:space="0" w:color="auto"/>
                                              </w:divBdr>
                                              <w:divsChild>
                                                <w:div w:id="1700818570">
                                                  <w:marLeft w:val="0"/>
                                                  <w:marRight w:val="0"/>
                                                  <w:marTop w:val="0"/>
                                                  <w:marBottom w:val="0"/>
                                                  <w:divBdr>
                                                    <w:top w:val="none" w:sz="0" w:space="0" w:color="auto"/>
                                                    <w:left w:val="none" w:sz="0" w:space="0" w:color="auto"/>
                                                    <w:bottom w:val="none" w:sz="0" w:space="0" w:color="auto"/>
                                                    <w:right w:val="none" w:sz="0" w:space="0" w:color="auto"/>
                                                  </w:divBdr>
                                                  <w:divsChild>
                                                    <w:div w:id="714543751">
                                                      <w:marLeft w:val="0"/>
                                                      <w:marRight w:val="0"/>
                                                      <w:marTop w:val="0"/>
                                                      <w:marBottom w:val="0"/>
                                                      <w:divBdr>
                                                        <w:top w:val="none" w:sz="0" w:space="0" w:color="auto"/>
                                                        <w:left w:val="none" w:sz="0" w:space="0" w:color="auto"/>
                                                        <w:bottom w:val="none" w:sz="0" w:space="0" w:color="auto"/>
                                                        <w:right w:val="none" w:sz="0" w:space="0" w:color="auto"/>
                                                      </w:divBdr>
                                                      <w:divsChild>
                                                        <w:div w:id="57389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8077670">
      <w:bodyDiv w:val="1"/>
      <w:marLeft w:val="0"/>
      <w:marRight w:val="0"/>
      <w:marTop w:val="0"/>
      <w:marBottom w:val="0"/>
      <w:divBdr>
        <w:top w:val="none" w:sz="0" w:space="0" w:color="auto"/>
        <w:left w:val="none" w:sz="0" w:space="0" w:color="auto"/>
        <w:bottom w:val="none" w:sz="0" w:space="0" w:color="auto"/>
        <w:right w:val="none" w:sz="0" w:space="0" w:color="auto"/>
      </w:divBdr>
    </w:div>
    <w:div w:id="678314072">
      <w:bodyDiv w:val="1"/>
      <w:marLeft w:val="0"/>
      <w:marRight w:val="0"/>
      <w:marTop w:val="0"/>
      <w:marBottom w:val="0"/>
      <w:divBdr>
        <w:top w:val="none" w:sz="0" w:space="0" w:color="auto"/>
        <w:left w:val="none" w:sz="0" w:space="0" w:color="auto"/>
        <w:bottom w:val="none" w:sz="0" w:space="0" w:color="auto"/>
        <w:right w:val="none" w:sz="0" w:space="0" w:color="auto"/>
      </w:divBdr>
    </w:div>
    <w:div w:id="706562569">
      <w:bodyDiv w:val="1"/>
      <w:marLeft w:val="30"/>
      <w:marRight w:val="30"/>
      <w:marTop w:val="30"/>
      <w:marBottom w:val="30"/>
      <w:divBdr>
        <w:top w:val="none" w:sz="0" w:space="0" w:color="auto"/>
        <w:left w:val="none" w:sz="0" w:space="0" w:color="auto"/>
        <w:bottom w:val="none" w:sz="0" w:space="0" w:color="auto"/>
        <w:right w:val="none" w:sz="0" w:space="0" w:color="auto"/>
      </w:divBdr>
      <w:divsChild>
        <w:div w:id="1829205435">
          <w:marLeft w:val="0"/>
          <w:marRight w:val="0"/>
          <w:marTop w:val="0"/>
          <w:marBottom w:val="0"/>
          <w:divBdr>
            <w:top w:val="none" w:sz="0" w:space="0" w:color="auto"/>
            <w:left w:val="none" w:sz="0" w:space="0" w:color="auto"/>
            <w:bottom w:val="none" w:sz="0" w:space="0" w:color="auto"/>
            <w:right w:val="none" w:sz="0" w:space="0" w:color="auto"/>
          </w:divBdr>
          <w:divsChild>
            <w:div w:id="681053641">
              <w:marLeft w:val="45"/>
              <w:marRight w:val="45"/>
              <w:marTop w:val="45"/>
              <w:marBottom w:val="45"/>
              <w:divBdr>
                <w:top w:val="none" w:sz="0" w:space="0" w:color="auto"/>
                <w:left w:val="none" w:sz="0" w:space="0" w:color="auto"/>
                <w:bottom w:val="none" w:sz="0" w:space="0" w:color="auto"/>
                <w:right w:val="none" w:sz="0" w:space="0" w:color="auto"/>
              </w:divBdr>
              <w:divsChild>
                <w:div w:id="305087791">
                  <w:marLeft w:val="0"/>
                  <w:marRight w:val="0"/>
                  <w:marTop w:val="0"/>
                  <w:marBottom w:val="0"/>
                  <w:divBdr>
                    <w:top w:val="none" w:sz="0" w:space="0" w:color="auto"/>
                    <w:left w:val="none" w:sz="0" w:space="0" w:color="auto"/>
                    <w:bottom w:val="none" w:sz="0" w:space="0" w:color="auto"/>
                    <w:right w:val="none" w:sz="0" w:space="0" w:color="auto"/>
                  </w:divBdr>
                  <w:divsChild>
                    <w:div w:id="144083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688855">
      <w:bodyDiv w:val="1"/>
      <w:marLeft w:val="0"/>
      <w:marRight w:val="0"/>
      <w:marTop w:val="0"/>
      <w:marBottom w:val="0"/>
      <w:divBdr>
        <w:top w:val="none" w:sz="0" w:space="0" w:color="auto"/>
        <w:left w:val="none" w:sz="0" w:space="0" w:color="auto"/>
        <w:bottom w:val="none" w:sz="0" w:space="0" w:color="auto"/>
        <w:right w:val="none" w:sz="0" w:space="0" w:color="auto"/>
      </w:divBdr>
    </w:div>
    <w:div w:id="930089649">
      <w:bodyDiv w:val="1"/>
      <w:marLeft w:val="0"/>
      <w:marRight w:val="0"/>
      <w:marTop w:val="0"/>
      <w:marBottom w:val="0"/>
      <w:divBdr>
        <w:top w:val="none" w:sz="0" w:space="0" w:color="auto"/>
        <w:left w:val="none" w:sz="0" w:space="0" w:color="auto"/>
        <w:bottom w:val="none" w:sz="0" w:space="0" w:color="auto"/>
        <w:right w:val="none" w:sz="0" w:space="0" w:color="auto"/>
      </w:divBdr>
    </w:div>
    <w:div w:id="931744136">
      <w:bodyDiv w:val="1"/>
      <w:marLeft w:val="0"/>
      <w:marRight w:val="0"/>
      <w:marTop w:val="0"/>
      <w:marBottom w:val="0"/>
      <w:divBdr>
        <w:top w:val="none" w:sz="0" w:space="0" w:color="auto"/>
        <w:left w:val="none" w:sz="0" w:space="0" w:color="auto"/>
        <w:bottom w:val="none" w:sz="0" w:space="0" w:color="auto"/>
        <w:right w:val="none" w:sz="0" w:space="0" w:color="auto"/>
      </w:divBdr>
    </w:div>
    <w:div w:id="1069232310">
      <w:bodyDiv w:val="1"/>
      <w:marLeft w:val="0"/>
      <w:marRight w:val="0"/>
      <w:marTop w:val="0"/>
      <w:marBottom w:val="0"/>
      <w:divBdr>
        <w:top w:val="none" w:sz="0" w:space="0" w:color="auto"/>
        <w:left w:val="none" w:sz="0" w:space="0" w:color="auto"/>
        <w:bottom w:val="none" w:sz="0" w:space="0" w:color="auto"/>
        <w:right w:val="none" w:sz="0" w:space="0" w:color="auto"/>
      </w:divBdr>
    </w:div>
    <w:div w:id="1108548623">
      <w:bodyDiv w:val="1"/>
      <w:marLeft w:val="0"/>
      <w:marRight w:val="0"/>
      <w:marTop w:val="0"/>
      <w:marBottom w:val="0"/>
      <w:divBdr>
        <w:top w:val="none" w:sz="0" w:space="0" w:color="auto"/>
        <w:left w:val="none" w:sz="0" w:space="0" w:color="auto"/>
        <w:bottom w:val="none" w:sz="0" w:space="0" w:color="auto"/>
        <w:right w:val="none" w:sz="0" w:space="0" w:color="auto"/>
      </w:divBdr>
    </w:div>
    <w:div w:id="1114597725">
      <w:bodyDiv w:val="1"/>
      <w:marLeft w:val="0"/>
      <w:marRight w:val="0"/>
      <w:marTop w:val="0"/>
      <w:marBottom w:val="0"/>
      <w:divBdr>
        <w:top w:val="none" w:sz="0" w:space="0" w:color="auto"/>
        <w:left w:val="none" w:sz="0" w:space="0" w:color="auto"/>
        <w:bottom w:val="none" w:sz="0" w:space="0" w:color="auto"/>
        <w:right w:val="none" w:sz="0" w:space="0" w:color="auto"/>
      </w:divBdr>
    </w:div>
    <w:div w:id="1115906031">
      <w:bodyDiv w:val="1"/>
      <w:marLeft w:val="0"/>
      <w:marRight w:val="0"/>
      <w:marTop w:val="0"/>
      <w:marBottom w:val="0"/>
      <w:divBdr>
        <w:top w:val="none" w:sz="0" w:space="0" w:color="auto"/>
        <w:left w:val="none" w:sz="0" w:space="0" w:color="auto"/>
        <w:bottom w:val="none" w:sz="0" w:space="0" w:color="auto"/>
        <w:right w:val="none" w:sz="0" w:space="0" w:color="auto"/>
      </w:divBdr>
    </w:div>
    <w:div w:id="1318995804">
      <w:bodyDiv w:val="1"/>
      <w:marLeft w:val="30"/>
      <w:marRight w:val="30"/>
      <w:marTop w:val="30"/>
      <w:marBottom w:val="30"/>
      <w:divBdr>
        <w:top w:val="none" w:sz="0" w:space="0" w:color="auto"/>
        <w:left w:val="none" w:sz="0" w:space="0" w:color="auto"/>
        <w:bottom w:val="none" w:sz="0" w:space="0" w:color="auto"/>
        <w:right w:val="none" w:sz="0" w:space="0" w:color="auto"/>
      </w:divBdr>
      <w:divsChild>
        <w:div w:id="643848690">
          <w:marLeft w:val="0"/>
          <w:marRight w:val="0"/>
          <w:marTop w:val="0"/>
          <w:marBottom w:val="0"/>
          <w:divBdr>
            <w:top w:val="none" w:sz="0" w:space="0" w:color="auto"/>
            <w:left w:val="none" w:sz="0" w:space="0" w:color="auto"/>
            <w:bottom w:val="none" w:sz="0" w:space="0" w:color="auto"/>
            <w:right w:val="none" w:sz="0" w:space="0" w:color="auto"/>
          </w:divBdr>
          <w:divsChild>
            <w:div w:id="1234773876">
              <w:marLeft w:val="45"/>
              <w:marRight w:val="45"/>
              <w:marTop w:val="45"/>
              <w:marBottom w:val="45"/>
              <w:divBdr>
                <w:top w:val="none" w:sz="0" w:space="0" w:color="auto"/>
                <w:left w:val="none" w:sz="0" w:space="0" w:color="auto"/>
                <w:bottom w:val="none" w:sz="0" w:space="0" w:color="auto"/>
                <w:right w:val="none" w:sz="0" w:space="0" w:color="auto"/>
              </w:divBdr>
              <w:divsChild>
                <w:div w:id="290553797">
                  <w:marLeft w:val="0"/>
                  <w:marRight w:val="0"/>
                  <w:marTop w:val="0"/>
                  <w:marBottom w:val="0"/>
                  <w:divBdr>
                    <w:top w:val="none" w:sz="0" w:space="0" w:color="auto"/>
                    <w:left w:val="none" w:sz="0" w:space="0" w:color="auto"/>
                    <w:bottom w:val="none" w:sz="0" w:space="0" w:color="auto"/>
                    <w:right w:val="none" w:sz="0" w:space="0" w:color="auto"/>
                  </w:divBdr>
                  <w:divsChild>
                    <w:div w:id="207068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985127">
      <w:bodyDiv w:val="1"/>
      <w:marLeft w:val="0"/>
      <w:marRight w:val="0"/>
      <w:marTop w:val="0"/>
      <w:marBottom w:val="0"/>
      <w:divBdr>
        <w:top w:val="none" w:sz="0" w:space="0" w:color="auto"/>
        <w:left w:val="none" w:sz="0" w:space="0" w:color="auto"/>
        <w:bottom w:val="none" w:sz="0" w:space="0" w:color="auto"/>
        <w:right w:val="none" w:sz="0" w:space="0" w:color="auto"/>
      </w:divBdr>
    </w:div>
    <w:div w:id="1595434101">
      <w:bodyDiv w:val="1"/>
      <w:marLeft w:val="0"/>
      <w:marRight w:val="0"/>
      <w:marTop w:val="0"/>
      <w:marBottom w:val="0"/>
      <w:divBdr>
        <w:top w:val="none" w:sz="0" w:space="0" w:color="auto"/>
        <w:left w:val="none" w:sz="0" w:space="0" w:color="auto"/>
        <w:bottom w:val="none" w:sz="0" w:space="0" w:color="auto"/>
        <w:right w:val="none" w:sz="0" w:space="0" w:color="auto"/>
      </w:divBdr>
    </w:div>
    <w:div w:id="1781559895">
      <w:bodyDiv w:val="1"/>
      <w:marLeft w:val="0"/>
      <w:marRight w:val="0"/>
      <w:marTop w:val="0"/>
      <w:marBottom w:val="0"/>
      <w:divBdr>
        <w:top w:val="none" w:sz="0" w:space="0" w:color="auto"/>
        <w:left w:val="none" w:sz="0" w:space="0" w:color="auto"/>
        <w:bottom w:val="none" w:sz="0" w:space="0" w:color="auto"/>
        <w:right w:val="none" w:sz="0" w:space="0" w:color="auto"/>
      </w:divBdr>
      <w:divsChild>
        <w:div w:id="1284341051">
          <w:marLeft w:val="0"/>
          <w:marRight w:val="0"/>
          <w:marTop w:val="0"/>
          <w:marBottom w:val="0"/>
          <w:divBdr>
            <w:top w:val="none" w:sz="0" w:space="0" w:color="auto"/>
            <w:left w:val="single" w:sz="6" w:space="0" w:color="BBBBBB"/>
            <w:bottom w:val="single" w:sz="6" w:space="0" w:color="BBBBBB"/>
            <w:right w:val="single" w:sz="6" w:space="0" w:color="BBBBBB"/>
          </w:divBdr>
          <w:divsChild>
            <w:div w:id="250747207">
              <w:marLeft w:val="0"/>
              <w:marRight w:val="0"/>
              <w:marTop w:val="0"/>
              <w:marBottom w:val="0"/>
              <w:divBdr>
                <w:top w:val="none" w:sz="0" w:space="0" w:color="auto"/>
                <w:left w:val="none" w:sz="0" w:space="0" w:color="auto"/>
                <w:bottom w:val="none" w:sz="0" w:space="0" w:color="auto"/>
                <w:right w:val="none" w:sz="0" w:space="0" w:color="auto"/>
              </w:divBdr>
              <w:divsChild>
                <w:div w:id="160778025">
                  <w:marLeft w:val="0"/>
                  <w:marRight w:val="0"/>
                  <w:marTop w:val="0"/>
                  <w:marBottom w:val="0"/>
                  <w:divBdr>
                    <w:top w:val="none" w:sz="0" w:space="0" w:color="auto"/>
                    <w:left w:val="none" w:sz="0" w:space="0" w:color="auto"/>
                    <w:bottom w:val="none" w:sz="0" w:space="0" w:color="auto"/>
                    <w:right w:val="none" w:sz="0" w:space="0" w:color="auto"/>
                  </w:divBdr>
                  <w:divsChild>
                    <w:div w:id="465046996">
                      <w:marLeft w:val="0"/>
                      <w:marRight w:val="0"/>
                      <w:marTop w:val="0"/>
                      <w:marBottom w:val="0"/>
                      <w:divBdr>
                        <w:top w:val="none" w:sz="0" w:space="0" w:color="auto"/>
                        <w:left w:val="none" w:sz="0" w:space="0" w:color="auto"/>
                        <w:bottom w:val="none" w:sz="0" w:space="0" w:color="auto"/>
                        <w:right w:val="none" w:sz="0" w:space="0" w:color="auto"/>
                      </w:divBdr>
                      <w:divsChild>
                        <w:div w:id="1841701050">
                          <w:marLeft w:val="0"/>
                          <w:marRight w:val="0"/>
                          <w:marTop w:val="0"/>
                          <w:marBottom w:val="0"/>
                          <w:divBdr>
                            <w:top w:val="none" w:sz="0" w:space="0" w:color="auto"/>
                            <w:left w:val="none" w:sz="0" w:space="0" w:color="auto"/>
                            <w:bottom w:val="none" w:sz="0" w:space="0" w:color="auto"/>
                            <w:right w:val="none" w:sz="0" w:space="0" w:color="auto"/>
                          </w:divBdr>
                          <w:divsChild>
                            <w:div w:id="1548373390">
                              <w:marLeft w:val="0"/>
                              <w:marRight w:val="0"/>
                              <w:marTop w:val="0"/>
                              <w:marBottom w:val="0"/>
                              <w:divBdr>
                                <w:top w:val="none" w:sz="0" w:space="0" w:color="auto"/>
                                <w:left w:val="none" w:sz="0" w:space="0" w:color="auto"/>
                                <w:bottom w:val="none" w:sz="0" w:space="0" w:color="auto"/>
                                <w:right w:val="none" w:sz="0" w:space="0" w:color="auto"/>
                              </w:divBdr>
                              <w:divsChild>
                                <w:div w:id="952596030">
                                  <w:marLeft w:val="0"/>
                                  <w:marRight w:val="0"/>
                                  <w:marTop w:val="0"/>
                                  <w:marBottom w:val="0"/>
                                  <w:divBdr>
                                    <w:top w:val="none" w:sz="0" w:space="0" w:color="auto"/>
                                    <w:left w:val="none" w:sz="0" w:space="0" w:color="auto"/>
                                    <w:bottom w:val="none" w:sz="0" w:space="0" w:color="auto"/>
                                    <w:right w:val="none" w:sz="0" w:space="0" w:color="auto"/>
                                  </w:divBdr>
                                  <w:divsChild>
                                    <w:div w:id="1079403328">
                                      <w:marLeft w:val="0"/>
                                      <w:marRight w:val="0"/>
                                      <w:marTop w:val="0"/>
                                      <w:marBottom w:val="0"/>
                                      <w:divBdr>
                                        <w:top w:val="none" w:sz="0" w:space="0" w:color="auto"/>
                                        <w:left w:val="none" w:sz="0" w:space="0" w:color="auto"/>
                                        <w:bottom w:val="none" w:sz="0" w:space="0" w:color="auto"/>
                                        <w:right w:val="none" w:sz="0" w:space="0" w:color="auto"/>
                                      </w:divBdr>
                                      <w:divsChild>
                                        <w:div w:id="667445233">
                                          <w:marLeft w:val="1200"/>
                                          <w:marRight w:val="1200"/>
                                          <w:marTop w:val="0"/>
                                          <w:marBottom w:val="0"/>
                                          <w:divBdr>
                                            <w:top w:val="none" w:sz="0" w:space="0" w:color="auto"/>
                                            <w:left w:val="none" w:sz="0" w:space="0" w:color="auto"/>
                                            <w:bottom w:val="none" w:sz="0" w:space="0" w:color="auto"/>
                                            <w:right w:val="none" w:sz="0" w:space="0" w:color="auto"/>
                                          </w:divBdr>
                                          <w:divsChild>
                                            <w:div w:id="179393613">
                                              <w:marLeft w:val="0"/>
                                              <w:marRight w:val="0"/>
                                              <w:marTop w:val="0"/>
                                              <w:marBottom w:val="0"/>
                                              <w:divBdr>
                                                <w:top w:val="none" w:sz="0" w:space="0" w:color="auto"/>
                                                <w:left w:val="none" w:sz="0" w:space="0" w:color="auto"/>
                                                <w:bottom w:val="none" w:sz="0" w:space="0" w:color="auto"/>
                                                <w:right w:val="none" w:sz="0" w:space="0" w:color="auto"/>
                                              </w:divBdr>
                                              <w:divsChild>
                                                <w:div w:id="1753431518">
                                                  <w:marLeft w:val="0"/>
                                                  <w:marRight w:val="0"/>
                                                  <w:marTop w:val="0"/>
                                                  <w:marBottom w:val="0"/>
                                                  <w:divBdr>
                                                    <w:top w:val="none" w:sz="0" w:space="0" w:color="auto"/>
                                                    <w:left w:val="none" w:sz="0" w:space="0" w:color="auto"/>
                                                    <w:bottom w:val="none" w:sz="0" w:space="0" w:color="auto"/>
                                                    <w:right w:val="none" w:sz="0" w:space="0" w:color="auto"/>
                                                  </w:divBdr>
                                                  <w:divsChild>
                                                    <w:div w:id="1575823032">
                                                      <w:marLeft w:val="0"/>
                                                      <w:marRight w:val="0"/>
                                                      <w:marTop w:val="0"/>
                                                      <w:marBottom w:val="0"/>
                                                      <w:divBdr>
                                                        <w:top w:val="none" w:sz="0" w:space="0" w:color="auto"/>
                                                        <w:left w:val="none" w:sz="0" w:space="0" w:color="auto"/>
                                                        <w:bottom w:val="none" w:sz="0" w:space="0" w:color="auto"/>
                                                        <w:right w:val="none" w:sz="0" w:space="0" w:color="auto"/>
                                                      </w:divBdr>
                                                      <w:divsChild>
                                                        <w:div w:id="70544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6099117">
      <w:bodyDiv w:val="1"/>
      <w:marLeft w:val="0"/>
      <w:marRight w:val="0"/>
      <w:marTop w:val="0"/>
      <w:marBottom w:val="0"/>
      <w:divBdr>
        <w:top w:val="none" w:sz="0" w:space="0" w:color="auto"/>
        <w:left w:val="none" w:sz="0" w:space="0" w:color="auto"/>
        <w:bottom w:val="none" w:sz="0" w:space="0" w:color="auto"/>
        <w:right w:val="none" w:sz="0" w:space="0" w:color="auto"/>
      </w:divBdr>
    </w:div>
    <w:div w:id="1838764063">
      <w:bodyDiv w:val="1"/>
      <w:marLeft w:val="0"/>
      <w:marRight w:val="0"/>
      <w:marTop w:val="0"/>
      <w:marBottom w:val="0"/>
      <w:divBdr>
        <w:top w:val="none" w:sz="0" w:space="0" w:color="auto"/>
        <w:left w:val="none" w:sz="0" w:space="0" w:color="auto"/>
        <w:bottom w:val="none" w:sz="0" w:space="0" w:color="auto"/>
        <w:right w:val="none" w:sz="0" w:space="0" w:color="auto"/>
      </w:divBdr>
    </w:div>
    <w:div w:id="1845628566">
      <w:bodyDiv w:val="1"/>
      <w:marLeft w:val="0"/>
      <w:marRight w:val="0"/>
      <w:marTop w:val="0"/>
      <w:marBottom w:val="0"/>
      <w:divBdr>
        <w:top w:val="none" w:sz="0" w:space="0" w:color="auto"/>
        <w:left w:val="none" w:sz="0" w:space="0" w:color="auto"/>
        <w:bottom w:val="none" w:sz="0" w:space="0" w:color="auto"/>
        <w:right w:val="none" w:sz="0" w:space="0" w:color="auto"/>
      </w:divBdr>
    </w:div>
    <w:div w:id="1846632813">
      <w:bodyDiv w:val="1"/>
      <w:marLeft w:val="0"/>
      <w:marRight w:val="0"/>
      <w:marTop w:val="0"/>
      <w:marBottom w:val="0"/>
      <w:divBdr>
        <w:top w:val="none" w:sz="0" w:space="0" w:color="auto"/>
        <w:left w:val="none" w:sz="0" w:space="0" w:color="auto"/>
        <w:bottom w:val="none" w:sz="0" w:space="0" w:color="auto"/>
        <w:right w:val="none" w:sz="0" w:space="0" w:color="auto"/>
      </w:divBdr>
    </w:div>
    <w:div w:id="1910722250">
      <w:bodyDiv w:val="1"/>
      <w:marLeft w:val="0"/>
      <w:marRight w:val="0"/>
      <w:marTop w:val="0"/>
      <w:marBottom w:val="0"/>
      <w:divBdr>
        <w:top w:val="none" w:sz="0" w:space="0" w:color="auto"/>
        <w:left w:val="none" w:sz="0" w:space="0" w:color="auto"/>
        <w:bottom w:val="none" w:sz="0" w:space="0" w:color="auto"/>
        <w:right w:val="none" w:sz="0" w:space="0" w:color="auto"/>
      </w:divBdr>
    </w:div>
    <w:div w:id="2009938877">
      <w:bodyDiv w:val="1"/>
      <w:marLeft w:val="0"/>
      <w:marRight w:val="0"/>
      <w:marTop w:val="0"/>
      <w:marBottom w:val="0"/>
      <w:divBdr>
        <w:top w:val="none" w:sz="0" w:space="0" w:color="auto"/>
        <w:left w:val="none" w:sz="0" w:space="0" w:color="auto"/>
        <w:bottom w:val="none" w:sz="0" w:space="0" w:color="auto"/>
        <w:right w:val="none" w:sz="0" w:space="0" w:color="auto"/>
      </w:divBdr>
    </w:div>
    <w:div w:id="214330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A0F71-A54B-4819-B174-AF2418C89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6819</Words>
  <Characters>36701</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TO PLACE DECISIONS INTO THIS DOCUMENT, PLEASE FOLLOW THESE STEPS:</vt:lpstr>
    </vt:vector>
  </TitlesOfParts>
  <Company> </Company>
  <LinksUpToDate>false</LinksUpToDate>
  <CharactersWithSpaces>43434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PLACE DECISIONS INTO THIS DOCUMENT, PLEASE FOLLOW THESE STEPS:</dc:title>
  <dc:subject/>
  <dc:creator>CAROLO</dc:creator>
  <cp:keywords/>
  <dc:description/>
  <cp:lastModifiedBy>SCAO</cp:lastModifiedBy>
  <cp:revision>3</cp:revision>
  <cp:lastPrinted>2012-12-12T17:34:00Z</cp:lastPrinted>
  <dcterms:created xsi:type="dcterms:W3CDTF">2012-12-13T22:37:00Z</dcterms:created>
  <dcterms:modified xsi:type="dcterms:W3CDTF">2012-12-13T22:38:00Z</dcterms:modified>
</cp:coreProperties>
</file>