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19" w:rsidRDefault="00B96919" w:rsidP="00FB74B6">
      <w:pPr>
        <w:tabs>
          <w:tab w:val="left" w:pos="720"/>
          <w:tab w:val="left" w:pos="1440"/>
        </w:tabs>
        <w:ind w:left="1440" w:hanging="1440"/>
      </w:pPr>
      <w:bookmarkStart w:id="0" w:name="_GoBack"/>
      <w:bookmarkEnd w:id="0"/>
    </w:p>
    <w:p w:rsidR="00D439B6" w:rsidRDefault="008C19A9" w:rsidP="00FB74B6">
      <w:pPr>
        <w:tabs>
          <w:tab w:val="left" w:pos="720"/>
          <w:tab w:val="left" w:pos="1440"/>
        </w:tabs>
        <w:ind w:left="144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12.25pt;width:500.1pt;height:583.2pt;z-index:-251658752">
            <v:imagedata r:id="rId9" o:title="" gain="19661f" blacklevel="22938f"/>
          </v:shape>
          <o:OLEObject Type="Embed" ProgID="MS_ClipArt_Gallery.5" ShapeID="_x0000_s1027" DrawAspect="Content" ObjectID="_1479191835" r:id="rId10"/>
        </w:pict>
      </w: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Pr="00D439B6" w:rsidRDefault="00D439B6" w:rsidP="00D439B6">
      <w:pPr>
        <w:keepNext/>
        <w:suppressAutoHyphens w:val="0"/>
        <w:jc w:val="center"/>
        <w:outlineLvl w:val="0"/>
        <w:rPr>
          <w:b/>
          <w:sz w:val="72"/>
        </w:rPr>
      </w:pPr>
      <w:r w:rsidRPr="00D439B6">
        <w:rPr>
          <w:b/>
          <w:sz w:val="72"/>
        </w:rPr>
        <w:t>Minnesota Court of Appeals</w:t>
      </w:r>
    </w:p>
    <w:p w:rsidR="00D439B6" w:rsidRPr="00D439B6" w:rsidRDefault="00D439B6" w:rsidP="00D439B6">
      <w:pPr>
        <w:suppressAutoHyphens w:val="0"/>
        <w:jc w:val="center"/>
        <w:rPr>
          <w:b/>
          <w:sz w:val="72"/>
        </w:rPr>
      </w:pPr>
    </w:p>
    <w:p w:rsidR="00D439B6" w:rsidRPr="00D439B6" w:rsidRDefault="00D439B6" w:rsidP="00D439B6">
      <w:pPr>
        <w:suppressAutoHyphens w:val="0"/>
        <w:jc w:val="center"/>
        <w:rPr>
          <w:b/>
          <w:sz w:val="72"/>
        </w:rPr>
      </w:pPr>
      <w:r w:rsidRPr="00D439B6">
        <w:rPr>
          <w:b/>
          <w:sz w:val="72"/>
        </w:rPr>
        <w:t>Significant Decisions</w:t>
      </w:r>
    </w:p>
    <w:p w:rsidR="00D439B6" w:rsidRPr="00D439B6" w:rsidRDefault="00D439B6" w:rsidP="00D439B6">
      <w:pPr>
        <w:suppressAutoHyphens w:val="0"/>
        <w:jc w:val="center"/>
        <w:rPr>
          <w:b/>
          <w:sz w:val="72"/>
        </w:rPr>
      </w:pPr>
    </w:p>
    <w:p w:rsidR="00D439B6" w:rsidRDefault="00D439B6" w:rsidP="00D439B6">
      <w:pPr>
        <w:suppressAutoHyphens w:val="0"/>
        <w:jc w:val="center"/>
        <w:rPr>
          <w:b/>
          <w:sz w:val="72"/>
        </w:rPr>
      </w:pPr>
      <w:r w:rsidRPr="00D439B6">
        <w:rPr>
          <w:b/>
          <w:sz w:val="72"/>
        </w:rPr>
        <w:t>September 20</w:t>
      </w:r>
      <w:r w:rsidR="00D31630">
        <w:rPr>
          <w:b/>
          <w:sz w:val="72"/>
        </w:rPr>
        <w:t>1</w:t>
      </w:r>
      <w:r w:rsidR="00A048AC">
        <w:rPr>
          <w:b/>
          <w:sz w:val="72"/>
        </w:rPr>
        <w:t>3</w:t>
      </w:r>
      <w:r w:rsidRPr="00D439B6">
        <w:rPr>
          <w:b/>
          <w:sz w:val="72"/>
        </w:rPr>
        <w:t>-August 20</w:t>
      </w:r>
      <w:r w:rsidR="00D31630">
        <w:rPr>
          <w:b/>
          <w:sz w:val="72"/>
        </w:rPr>
        <w:t>1</w:t>
      </w:r>
      <w:r w:rsidR="00A048AC">
        <w:rPr>
          <w:b/>
          <w:sz w:val="72"/>
        </w:rPr>
        <w:t>4</w:t>
      </w: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6F72F3" w:rsidRDefault="00A328D0" w:rsidP="00A328D0">
      <w:pPr>
        <w:suppressAutoHyphens w:val="0"/>
        <w:jc w:val="center"/>
        <w:rPr>
          <w:b/>
          <w:smallCaps/>
          <w:sz w:val="28"/>
          <w:szCs w:val="28"/>
        </w:rPr>
      </w:pPr>
      <w:r w:rsidRPr="00487B49">
        <w:rPr>
          <w:b/>
          <w:smallCaps/>
          <w:sz w:val="28"/>
          <w:szCs w:val="28"/>
        </w:rPr>
        <w:t xml:space="preserve">This </w:t>
      </w:r>
      <w:r>
        <w:rPr>
          <w:b/>
          <w:smallCaps/>
          <w:sz w:val="28"/>
          <w:szCs w:val="28"/>
        </w:rPr>
        <w:t>D</w:t>
      </w:r>
      <w:r w:rsidRPr="00487B49">
        <w:rPr>
          <w:b/>
          <w:smallCaps/>
          <w:sz w:val="28"/>
          <w:szCs w:val="28"/>
        </w:rPr>
        <w:t xml:space="preserve">ocument is </w:t>
      </w:r>
      <w:r>
        <w:rPr>
          <w:b/>
          <w:smallCaps/>
          <w:sz w:val="28"/>
          <w:szCs w:val="28"/>
        </w:rPr>
        <w:t>A</w:t>
      </w:r>
      <w:r w:rsidRPr="00487B49">
        <w:rPr>
          <w:b/>
          <w:smallCaps/>
          <w:sz w:val="28"/>
          <w:szCs w:val="28"/>
        </w:rPr>
        <w:t xml:space="preserve">vailable </w:t>
      </w:r>
      <w:r>
        <w:rPr>
          <w:b/>
          <w:smallCaps/>
          <w:sz w:val="28"/>
          <w:szCs w:val="28"/>
        </w:rPr>
        <w:t>on the Court Website</w:t>
      </w:r>
    </w:p>
    <w:p w:rsidR="00A328D0" w:rsidRPr="00487B49" w:rsidRDefault="00A328D0" w:rsidP="00A328D0">
      <w:pPr>
        <w:suppressAutoHyphens w:val="0"/>
        <w:jc w:val="center"/>
        <w:rPr>
          <w:b/>
          <w:smallCaps/>
          <w:sz w:val="28"/>
          <w:szCs w:val="28"/>
        </w:rPr>
      </w:pPr>
      <w:r w:rsidRPr="00487B49">
        <w:rPr>
          <w:b/>
          <w:smallCaps/>
          <w:sz w:val="28"/>
          <w:szCs w:val="28"/>
        </w:rPr>
        <w:t>www.</w:t>
      </w:r>
      <w:r w:rsidR="006F72F3">
        <w:rPr>
          <w:b/>
          <w:smallCaps/>
          <w:sz w:val="28"/>
          <w:szCs w:val="28"/>
        </w:rPr>
        <w:t>mncourts.gov</w:t>
      </w:r>
    </w:p>
    <w:p w:rsidR="00D439B6" w:rsidRDefault="00D439B6" w:rsidP="00FB74B6">
      <w:pPr>
        <w:pStyle w:val="Heading2"/>
        <w:tabs>
          <w:tab w:val="left" w:pos="720"/>
          <w:tab w:val="left" w:pos="1440"/>
        </w:tabs>
        <w:rPr>
          <w:spacing w:val="-3"/>
        </w:rPr>
        <w:sectPr w:rsidR="00D439B6" w:rsidSect="00CA668A">
          <w:headerReference w:type="default" r:id="rId11"/>
          <w:footerReference w:type="even" r:id="rId12"/>
          <w:footerReference w:type="default" r:id="rId13"/>
          <w:headerReference w:type="first" r:id="rId14"/>
          <w:pgSz w:w="12240" w:h="15840" w:code="1"/>
          <w:pgMar w:top="1440" w:right="1440" w:bottom="1440" w:left="1440" w:header="0" w:footer="1152" w:gutter="0"/>
          <w:cols w:space="720"/>
          <w:noEndnote/>
          <w:titlePg/>
          <w:docGrid w:linePitch="354"/>
        </w:sectPr>
      </w:pPr>
    </w:p>
    <w:p w:rsidR="00AB3A1C" w:rsidRPr="00234347" w:rsidRDefault="00AB3A1C" w:rsidP="00AB3A1C">
      <w:pPr>
        <w:widowControl w:val="0"/>
        <w:jc w:val="center"/>
        <w:rPr>
          <w:b/>
          <w:sz w:val="32"/>
          <w:szCs w:val="32"/>
        </w:rPr>
      </w:pPr>
      <w:r w:rsidRPr="00234347">
        <w:rPr>
          <w:b/>
          <w:sz w:val="32"/>
          <w:szCs w:val="32"/>
        </w:rPr>
        <w:lastRenderedPageBreak/>
        <w:t>TABLE OF CONTENTS</w:t>
      </w:r>
    </w:p>
    <w:p w:rsidR="00E83F80" w:rsidRDefault="00E83F80" w:rsidP="007B36E1">
      <w:pPr>
        <w:widowControl w:val="0"/>
        <w:rPr>
          <w:sz w:val="28"/>
        </w:rPr>
      </w:pPr>
    </w:p>
    <w:p w:rsidR="00AB3A1C" w:rsidRPr="00234347" w:rsidRDefault="00AB3A1C" w:rsidP="00AB3A1C">
      <w:pPr>
        <w:widowControl w:val="0"/>
        <w:jc w:val="center"/>
        <w:rPr>
          <w:b/>
          <w:sz w:val="28"/>
        </w:rPr>
      </w:pPr>
      <w:r w:rsidRPr="00234347">
        <w:rPr>
          <w:b/>
          <w:sz w:val="28"/>
        </w:rPr>
        <w:t>PART I</w:t>
      </w:r>
      <w:r>
        <w:rPr>
          <w:b/>
          <w:sz w:val="28"/>
        </w:rPr>
        <w:t xml:space="preserve"> – </w:t>
      </w:r>
      <w:r w:rsidRPr="00234347">
        <w:rPr>
          <w:b/>
          <w:sz w:val="28"/>
        </w:rPr>
        <w:t>CIVIL CASES</w:t>
      </w:r>
    </w:p>
    <w:p w:rsidR="00AB3A1C" w:rsidRPr="00C77D75" w:rsidRDefault="00AB3A1C" w:rsidP="00AB3A1C">
      <w:pPr>
        <w:widowControl w:val="0"/>
        <w:rPr>
          <w:sz w:val="28"/>
        </w:rPr>
      </w:pPr>
    </w:p>
    <w:p w:rsidR="00AB3A1C" w:rsidRPr="00816341" w:rsidRDefault="00AB3A1C" w:rsidP="00AB3A1C">
      <w:pPr>
        <w:widowControl w:val="0"/>
        <w:tabs>
          <w:tab w:val="right" w:leader="dot" w:pos="9360"/>
        </w:tabs>
        <w:rPr>
          <w:szCs w:val="26"/>
        </w:rPr>
      </w:pPr>
      <w:r w:rsidRPr="00816341">
        <w:rPr>
          <w:szCs w:val="26"/>
        </w:rPr>
        <w:t>Administrative Law</w:t>
      </w:r>
      <w:r w:rsidRPr="00816341">
        <w:rPr>
          <w:szCs w:val="26"/>
        </w:rPr>
        <w:tab/>
      </w:r>
      <w:r w:rsidR="001F1EB8">
        <w:rPr>
          <w:szCs w:val="26"/>
        </w:rPr>
        <w:t>1</w:t>
      </w:r>
    </w:p>
    <w:p w:rsidR="00E83F80" w:rsidRDefault="00E83F80" w:rsidP="00E83F80">
      <w:pPr>
        <w:widowControl w:val="0"/>
        <w:tabs>
          <w:tab w:val="right" w:leader="dot" w:pos="9360"/>
        </w:tabs>
        <w:rPr>
          <w:szCs w:val="26"/>
        </w:rPr>
      </w:pPr>
      <w:r>
        <w:rPr>
          <w:szCs w:val="26"/>
        </w:rPr>
        <w:t>Appellate Procedure</w:t>
      </w:r>
      <w:r w:rsidR="001F1EB8">
        <w:rPr>
          <w:szCs w:val="26"/>
        </w:rPr>
        <w:t xml:space="preserve"> &amp; Review</w:t>
      </w:r>
      <w:r>
        <w:rPr>
          <w:szCs w:val="26"/>
        </w:rPr>
        <w:tab/>
      </w:r>
      <w:r w:rsidR="001F1EB8">
        <w:rPr>
          <w:szCs w:val="26"/>
        </w:rPr>
        <w:t>1</w:t>
      </w:r>
    </w:p>
    <w:p w:rsidR="00F86C0A" w:rsidRDefault="00F86C0A" w:rsidP="00AB3A1C">
      <w:pPr>
        <w:widowControl w:val="0"/>
        <w:tabs>
          <w:tab w:val="right" w:leader="dot" w:pos="9360"/>
        </w:tabs>
        <w:rPr>
          <w:szCs w:val="26"/>
        </w:rPr>
      </w:pPr>
      <w:r>
        <w:rPr>
          <w:szCs w:val="26"/>
        </w:rPr>
        <w:t>Child Protection</w:t>
      </w:r>
      <w:r>
        <w:rPr>
          <w:szCs w:val="26"/>
        </w:rPr>
        <w:tab/>
      </w:r>
      <w:r w:rsidR="00064C38">
        <w:rPr>
          <w:szCs w:val="26"/>
        </w:rPr>
        <w:t>2</w:t>
      </w:r>
    </w:p>
    <w:p w:rsidR="00AB3A1C" w:rsidRDefault="00AB3A1C" w:rsidP="00AB3A1C">
      <w:pPr>
        <w:widowControl w:val="0"/>
        <w:tabs>
          <w:tab w:val="right" w:leader="dot" w:pos="9360"/>
        </w:tabs>
        <w:rPr>
          <w:szCs w:val="26"/>
        </w:rPr>
      </w:pPr>
      <w:r>
        <w:rPr>
          <w:szCs w:val="26"/>
        </w:rPr>
        <w:t xml:space="preserve">Civil </w:t>
      </w:r>
      <w:r w:rsidR="00E83F80">
        <w:rPr>
          <w:szCs w:val="26"/>
        </w:rPr>
        <w:t>Procedure</w:t>
      </w:r>
      <w:r w:rsidRPr="00816341">
        <w:rPr>
          <w:szCs w:val="26"/>
        </w:rPr>
        <w:tab/>
      </w:r>
      <w:r w:rsidR="00064C38">
        <w:rPr>
          <w:szCs w:val="26"/>
        </w:rPr>
        <w:t>3</w:t>
      </w:r>
    </w:p>
    <w:p w:rsidR="00AB3A1C" w:rsidRPr="00816341" w:rsidRDefault="00AB3A1C" w:rsidP="00AB3A1C">
      <w:pPr>
        <w:widowControl w:val="0"/>
        <w:tabs>
          <w:tab w:val="right" w:leader="dot" w:pos="9360"/>
        </w:tabs>
        <w:rPr>
          <w:szCs w:val="26"/>
        </w:rPr>
      </w:pPr>
      <w:r w:rsidRPr="00816341">
        <w:rPr>
          <w:szCs w:val="26"/>
        </w:rPr>
        <w:t>Constitutional Law</w:t>
      </w:r>
      <w:r w:rsidRPr="00816341">
        <w:rPr>
          <w:szCs w:val="26"/>
        </w:rPr>
        <w:tab/>
      </w:r>
      <w:r w:rsidR="00064C38">
        <w:rPr>
          <w:szCs w:val="26"/>
        </w:rPr>
        <w:t>5</w:t>
      </w:r>
    </w:p>
    <w:p w:rsidR="00AB3A1C" w:rsidRPr="00816341" w:rsidRDefault="00AB3A1C" w:rsidP="00AB3A1C">
      <w:pPr>
        <w:widowControl w:val="0"/>
        <w:tabs>
          <w:tab w:val="right" w:leader="dot" w:pos="9360"/>
        </w:tabs>
        <w:rPr>
          <w:szCs w:val="26"/>
        </w:rPr>
      </w:pPr>
      <w:r w:rsidRPr="00816341">
        <w:rPr>
          <w:szCs w:val="26"/>
        </w:rPr>
        <w:t>Contracts</w:t>
      </w:r>
      <w:r w:rsidRPr="00816341">
        <w:rPr>
          <w:szCs w:val="26"/>
        </w:rPr>
        <w:tab/>
      </w:r>
      <w:r w:rsidR="00064C38">
        <w:rPr>
          <w:szCs w:val="26"/>
        </w:rPr>
        <w:t>5</w:t>
      </w:r>
    </w:p>
    <w:p w:rsidR="0046487C" w:rsidRPr="00816341" w:rsidRDefault="0046487C" w:rsidP="0046487C">
      <w:pPr>
        <w:widowControl w:val="0"/>
        <w:tabs>
          <w:tab w:val="right" w:leader="dot" w:pos="9360"/>
        </w:tabs>
        <w:rPr>
          <w:szCs w:val="26"/>
        </w:rPr>
      </w:pPr>
      <w:r>
        <w:rPr>
          <w:szCs w:val="26"/>
        </w:rPr>
        <w:t>Environmental Law</w:t>
      </w:r>
      <w:r w:rsidRPr="00816341">
        <w:rPr>
          <w:szCs w:val="26"/>
        </w:rPr>
        <w:tab/>
      </w:r>
      <w:r>
        <w:rPr>
          <w:szCs w:val="26"/>
        </w:rPr>
        <w:t>6</w:t>
      </w:r>
    </w:p>
    <w:p w:rsidR="00AB3A1C" w:rsidRPr="00816341" w:rsidRDefault="00AB3A1C" w:rsidP="00AB3A1C">
      <w:pPr>
        <w:widowControl w:val="0"/>
        <w:tabs>
          <w:tab w:val="right" w:leader="dot" w:pos="9360"/>
        </w:tabs>
        <w:rPr>
          <w:szCs w:val="26"/>
        </w:rPr>
      </w:pPr>
      <w:r w:rsidRPr="00816341">
        <w:rPr>
          <w:szCs w:val="26"/>
        </w:rPr>
        <w:t>Family Law</w:t>
      </w:r>
      <w:r w:rsidRPr="00816341">
        <w:rPr>
          <w:szCs w:val="26"/>
        </w:rPr>
        <w:tab/>
      </w:r>
      <w:r w:rsidR="0046487C">
        <w:rPr>
          <w:szCs w:val="26"/>
        </w:rPr>
        <w:t>6</w:t>
      </w:r>
    </w:p>
    <w:p w:rsidR="0046487C" w:rsidRPr="00816341" w:rsidRDefault="0046487C" w:rsidP="0046487C">
      <w:pPr>
        <w:widowControl w:val="0"/>
        <w:tabs>
          <w:tab w:val="right" w:leader="dot" w:pos="9360"/>
        </w:tabs>
        <w:rPr>
          <w:szCs w:val="26"/>
        </w:rPr>
      </w:pPr>
      <w:r>
        <w:rPr>
          <w:szCs w:val="26"/>
        </w:rPr>
        <w:t>Government &amp; Immunity</w:t>
      </w:r>
      <w:r w:rsidRPr="00816341">
        <w:rPr>
          <w:szCs w:val="26"/>
        </w:rPr>
        <w:tab/>
      </w:r>
      <w:r>
        <w:rPr>
          <w:szCs w:val="26"/>
        </w:rPr>
        <w:t>7</w:t>
      </w:r>
    </w:p>
    <w:p w:rsidR="00AB3A1C" w:rsidRPr="00816341" w:rsidRDefault="00AB3A1C" w:rsidP="00AB3A1C">
      <w:pPr>
        <w:widowControl w:val="0"/>
        <w:tabs>
          <w:tab w:val="right" w:leader="dot" w:pos="9360"/>
        </w:tabs>
        <w:rPr>
          <w:szCs w:val="26"/>
        </w:rPr>
      </w:pPr>
      <w:r w:rsidRPr="00816341">
        <w:rPr>
          <w:szCs w:val="26"/>
        </w:rPr>
        <w:t>Insurance</w:t>
      </w:r>
      <w:r>
        <w:rPr>
          <w:szCs w:val="26"/>
        </w:rPr>
        <w:t xml:space="preserve"> Coverage</w:t>
      </w:r>
      <w:r w:rsidRPr="00816341">
        <w:rPr>
          <w:szCs w:val="26"/>
        </w:rPr>
        <w:tab/>
      </w:r>
      <w:r w:rsidR="0046487C">
        <w:rPr>
          <w:szCs w:val="26"/>
        </w:rPr>
        <w:t>8</w:t>
      </w:r>
    </w:p>
    <w:p w:rsidR="00AB3A1C" w:rsidRDefault="004E0B25" w:rsidP="00AB3A1C">
      <w:pPr>
        <w:widowControl w:val="0"/>
        <w:tabs>
          <w:tab w:val="right" w:leader="dot" w:pos="9360"/>
        </w:tabs>
        <w:rPr>
          <w:szCs w:val="26"/>
        </w:rPr>
      </w:pPr>
      <w:r>
        <w:rPr>
          <w:szCs w:val="26"/>
        </w:rPr>
        <w:t>Jurisdiction &amp;</w:t>
      </w:r>
      <w:r w:rsidR="00AB3A1C">
        <w:rPr>
          <w:szCs w:val="26"/>
        </w:rPr>
        <w:t xml:space="preserve"> Procedure</w:t>
      </w:r>
      <w:r w:rsidR="00AB3A1C" w:rsidRPr="00816341">
        <w:rPr>
          <w:szCs w:val="26"/>
        </w:rPr>
        <w:tab/>
      </w:r>
      <w:r w:rsidR="0046487C">
        <w:rPr>
          <w:szCs w:val="26"/>
        </w:rPr>
        <w:t>9</w:t>
      </w:r>
    </w:p>
    <w:p w:rsidR="00AB3A1C" w:rsidRPr="00816341" w:rsidRDefault="00AB3A1C" w:rsidP="00AB3A1C">
      <w:pPr>
        <w:widowControl w:val="0"/>
        <w:tabs>
          <w:tab w:val="right" w:leader="dot" w:pos="9360"/>
        </w:tabs>
        <w:rPr>
          <w:szCs w:val="26"/>
        </w:rPr>
      </w:pPr>
      <w:r>
        <w:rPr>
          <w:szCs w:val="26"/>
        </w:rPr>
        <w:t xml:space="preserve">Labor </w:t>
      </w:r>
      <w:r w:rsidR="00173D96">
        <w:rPr>
          <w:szCs w:val="26"/>
        </w:rPr>
        <w:t>&amp;</w:t>
      </w:r>
      <w:r>
        <w:rPr>
          <w:szCs w:val="26"/>
        </w:rPr>
        <w:t xml:space="preserve"> Employment</w:t>
      </w:r>
      <w:r w:rsidRPr="00816341">
        <w:rPr>
          <w:szCs w:val="26"/>
        </w:rPr>
        <w:tab/>
      </w:r>
      <w:r w:rsidR="00173D96">
        <w:rPr>
          <w:szCs w:val="26"/>
        </w:rPr>
        <w:t>9</w:t>
      </w:r>
    </w:p>
    <w:p w:rsidR="00AB3A1C" w:rsidRDefault="00AB3A1C" w:rsidP="00AB3A1C">
      <w:pPr>
        <w:widowControl w:val="0"/>
        <w:tabs>
          <w:tab w:val="right" w:leader="dot" w:pos="9360"/>
        </w:tabs>
        <w:rPr>
          <w:szCs w:val="26"/>
        </w:rPr>
      </w:pPr>
      <w:r>
        <w:rPr>
          <w:szCs w:val="26"/>
        </w:rPr>
        <w:t>Liens</w:t>
      </w:r>
      <w:r w:rsidR="008D5456">
        <w:rPr>
          <w:szCs w:val="26"/>
        </w:rPr>
        <w:t xml:space="preserve"> </w:t>
      </w:r>
      <w:r w:rsidR="00173D96">
        <w:rPr>
          <w:szCs w:val="26"/>
        </w:rPr>
        <w:t>&amp;</w:t>
      </w:r>
      <w:r w:rsidR="008D5456">
        <w:rPr>
          <w:szCs w:val="26"/>
        </w:rPr>
        <w:t xml:space="preserve"> Foreclosures</w:t>
      </w:r>
      <w:r w:rsidRPr="00816341">
        <w:rPr>
          <w:szCs w:val="26"/>
        </w:rPr>
        <w:tab/>
      </w:r>
      <w:r w:rsidR="00173D96">
        <w:rPr>
          <w:szCs w:val="26"/>
        </w:rPr>
        <w:t>10</w:t>
      </w:r>
    </w:p>
    <w:p w:rsidR="00893DBE" w:rsidRDefault="006F7821" w:rsidP="00AB3A1C">
      <w:pPr>
        <w:widowControl w:val="0"/>
        <w:tabs>
          <w:tab w:val="right" w:leader="dot" w:pos="9360"/>
        </w:tabs>
        <w:rPr>
          <w:szCs w:val="26"/>
        </w:rPr>
      </w:pPr>
      <w:r>
        <w:rPr>
          <w:szCs w:val="26"/>
        </w:rPr>
        <w:t>Local Government</w:t>
      </w:r>
      <w:r w:rsidR="00893DBE" w:rsidRPr="00816341">
        <w:rPr>
          <w:szCs w:val="26"/>
        </w:rPr>
        <w:tab/>
      </w:r>
      <w:r w:rsidR="00173D96">
        <w:rPr>
          <w:szCs w:val="26"/>
        </w:rPr>
        <w:t>10</w:t>
      </w:r>
    </w:p>
    <w:p w:rsidR="00AB3A1C" w:rsidRPr="00816341" w:rsidRDefault="00AB3A1C" w:rsidP="00AB3A1C">
      <w:pPr>
        <w:widowControl w:val="0"/>
        <w:tabs>
          <w:tab w:val="right" w:leader="dot" w:pos="9360"/>
        </w:tabs>
        <w:rPr>
          <w:szCs w:val="26"/>
        </w:rPr>
      </w:pPr>
      <w:r w:rsidRPr="00816341">
        <w:rPr>
          <w:szCs w:val="26"/>
        </w:rPr>
        <w:t>Probate</w:t>
      </w:r>
      <w:r w:rsidRPr="00816341">
        <w:rPr>
          <w:szCs w:val="26"/>
        </w:rPr>
        <w:tab/>
      </w:r>
      <w:r w:rsidR="00173D96">
        <w:rPr>
          <w:szCs w:val="26"/>
        </w:rPr>
        <w:t>11</w:t>
      </w:r>
    </w:p>
    <w:p w:rsidR="00AB3A1C" w:rsidRPr="00816341" w:rsidRDefault="003A2140" w:rsidP="00AB3A1C">
      <w:pPr>
        <w:widowControl w:val="0"/>
        <w:tabs>
          <w:tab w:val="right" w:leader="dot" w:pos="9360"/>
        </w:tabs>
        <w:rPr>
          <w:szCs w:val="26"/>
        </w:rPr>
      </w:pPr>
      <w:r>
        <w:rPr>
          <w:szCs w:val="26"/>
        </w:rPr>
        <w:t xml:space="preserve">Real </w:t>
      </w:r>
      <w:r w:rsidR="008D5456">
        <w:rPr>
          <w:szCs w:val="26"/>
        </w:rPr>
        <w:t xml:space="preserve">Estate </w:t>
      </w:r>
      <w:r w:rsidR="00173D96">
        <w:rPr>
          <w:szCs w:val="26"/>
        </w:rPr>
        <w:t>&amp;</w:t>
      </w:r>
      <w:r w:rsidR="008D5456">
        <w:rPr>
          <w:szCs w:val="26"/>
        </w:rPr>
        <w:t xml:space="preserve"> Property Rights</w:t>
      </w:r>
      <w:r w:rsidR="00AB3A1C" w:rsidRPr="00816341">
        <w:rPr>
          <w:szCs w:val="26"/>
        </w:rPr>
        <w:tab/>
      </w:r>
      <w:r w:rsidR="00173D96">
        <w:rPr>
          <w:szCs w:val="26"/>
        </w:rPr>
        <w:t>11</w:t>
      </w:r>
    </w:p>
    <w:p w:rsidR="00173D96" w:rsidRPr="00816341" w:rsidRDefault="00173D96" w:rsidP="00173D96">
      <w:pPr>
        <w:widowControl w:val="0"/>
        <w:tabs>
          <w:tab w:val="right" w:leader="dot" w:pos="9360"/>
        </w:tabs>
        <w:rPr>
          <w:szCs w:val="26"/>
        </w:rPr>
      </w:pPr>
      <w:r>
        <w:rPr>
          <w:szCs w:val="26"/>
        </w:rPr>
        <w:t>Remedies</w:t>
      </w:r>
      <w:r w:rsidRPr="00816341">
        <w:rPr>
          <w:szCs w:val="26"/>
        </w:rPr>
        <w:tab/>
      </w:r>
      <w:r>
        <w:rPr>
          <w:szCs w:val="26"/>
        </w:rPr>
        <w:t>12</w:t>
      </w:r>
    </w:p>
    <w:p w:rsidR="00AB3A1C" w:rsidRPr="00816341" w:rsidRDefault="00AB3A1C" w:rsidP="00AB3A1C">
      <w:pPr>
        <w:widowControl w:val="0"/>
        <w:tabs>
          <w:tab w:val="right" w:leader="dot" w:pos="9360"/>
        </w:tabs>
        <w:rPr>
          <w:szCs w:val="26"/>
        </w:rPr>
      </w:pPr>
      <w:r w:rsidRPr="00816341">
        <w:rPr>
          <w:szCs w:val="26"/>
        </w:rPr>
        <w:t>Torts</w:t>
      </w:r>
      <w:r w:rsidRPr="00816341">
        <w:rPr>
          <w:szCs w:val="26"/>
        </w:rPr>
        <w:tab/>
      </w:r>
      <w:r w:rsidR="00173D96">
        <w:rPr>
          <w:szCs w:val="26"/>
        </w:rPr>
        <w:t>13</w:t>
      </w:r>
    </w:p>
    <w:p w:rsidR="00AB3A1C" w:rsidRPr="00816341" w:rsidRDefault="00AB3A1C" w:rsidP="00AB3A1C">
      <w:pPr>
        <w:widowControl w:val="0"/>
        <w:tabs>
          <w:tab w:val="right" w:leader="dot" w:pos="9360"/>
        </w:tabs>
        <w:rPr>
          <w:szCs w:val="26"/>
        </w:rPr>
      </w:pPr>
      <w:r w:rsidRPr="003870A5">
        <w:rPr>
          <w:szCs w:val="26"/>
        </w:rPr>
        <w:t>Unemployment Benefits</w:t>
      </w:r>
      <w:r w:rsidRPr="00816341">
        <w:rPr>
          <w:szCs w:val="26"/>
        </w:rPr>
        <w:tab/>
      </w:r>
      <w:r w:rsidR="00173D96">
        <w:rPr>
          <w:szCs w:val="26"/>
        </w:rPr>
        <w:t>13</w:t>
      </w:r>
    </w:p>
    <w:p w:rsidR="00AB3A1C" w:rsidRDefault="00AB3A1C" w:rsidP="00AB3A1C">
      <w:pPr>
        <w:suppressAutoHyphens w:val="0"/>
        <w:jc w:val="left"/>
        <w:rPr>
          <w:b/>
        </w:rPr>
      </w:pPr>
    </w:p>
    <w:p w:rsidR="00E83F80" w:rsidRDefault="00E83F80" w:rsidP="00AB3A1C">
      <w:pPr>
        <w:suppressAutoHyphens w:val="0"/>
        <w:jc w:val="left"/>
        <w:rPr>
          <w:b/>
        </w:rPr>
      </w:pPr>
    </w:p>
    <w:p w:rsidR="00AB3A1C" w:rsidRPr="00861FB8" w:rsidRDefault="00AB3A1C" w:rsidP="00AB3A1C">
      <w:pPr>
        <w:jc w:val="center"/>
        <w:rPr>
          <w:b/>
          <w:sz w:val="28"/>
          <w:szCs w:val="28"/>
        </w:rPr>
      </w:pPr>
      <w:r w:rsidRPr="00861FB8">
        <w:rPr>
          <w:b/>
          <w:sz w:val="28"/>
          <w:szCs w:val="28"/>
        </w:rPr>
        <w:t>PART II – CRIMINAL CASES AND</w:t>
      </w:r>
      <w:r>
        <w:rPr>
          <w:b/>
          <w:sz w:val="28"/>
          <w:szCs w:val="28"/>
        </w:rPr>
        <w:t xml:space="preserve"> CASES ON</w:t>
      </w:r>
      <w:r w:rsidRPr="00861FB8">
        <w:rPr>
          <w:b/>
          <w:sz w:val="28"/>
          <w:szCs w:val="28"/>
        </w:rPr>
        <w:t xml:space="preserve"> RELATED SUBJECTS</w:t>
      </w:r>
    </w:p>
    <w:p w:rsidR="00AB3A1C" w:rsidRDefault="00AB3A1C" w:rsidP="00AB3A1C">
      <w:pPr>
        <w:jc w:val="center"/>
        <w:rPr>
          <w:b/>
        </w:rPr>
      </w:pPr>
    </w:p>
    <w:p w:rsidR="005B17D2" w:rsidRDefault="005B17D2" w:rsidP="00AB3A1C">
      <w:pPr>
        <w:widowControl w:val="0"/>
        <w:tabs>
          <w:tab w:val="right" w:leader="dot" w:pos="9360"/>
        </w:tabs>
        <w:rPr>
          <w:szCs w:val="26"/>
        </w:rPr>
      </w:pPr>
      <w:r>
        <w:rPr>
          <w:szCs w:val="26"/>
        </w:rPr>
        <w:t xml:space="preserve">Appellate </w:t>
      </w:r>
      <w:r w:rsidR="00E05304">
        <w:rPr>
          <w:szCs w:val="26"/>
        </w:rPr>
        <w:t xml:space="preserve">Procedure &amp; </w:t>
      </w:r>
      <w:r>
        <w:rPr>
          <w:szCs w:val="26"/>
        </w:rPr>
        <w:t xml:space="preserve">Review </w:t>
      </w:r>
      <w:r w:rsidRPr="00816341">
        <w:rPr>
          <w:szCs w:val="26"/>
        </w:rPr>
        <w:tab/>
      </w:r>
      <w:r w:rsidR="004923C2">
        <w:rPr>
          <w:szCs w:val="26"/>
        </w:rPr>
        <w:t>15</w:t>
      </w:r>
    </w:p>
    <w:p w:rsidR="00AB3A1C" w:rsidRDefault="00AB3A1C" w:rsidP="00AB3A1C">
      <w:pPr>
        <w:widowControl w:val="0"/>
        <w:tabs>
          <w:tab w:val="right" w:leader="dot" w:pos="9360"/>
        </w:tabs>
        <w:rPr>
          <w:szCs w:val="26"/>
        </w:rPr>
      </w:pPr>
      <w:r>
        <w:rPr>
          <w:szCs w:val="26"/>
        </w:rPr>
        <w:t>Constitutional Law</w:t>
      </w:r>
      <w:r w:rsidRPr="00816341">
        <w:rPr>
          <w:szCs w:val="26"/>
        </w:rPr>
        <w:tab/>
      </w:r>
      <w:r w:rsidR="00E05304">
        <w:rPr>
          <w:szCs w:val="26"/>
        </w:rPr>
        <w:t>15</w:t>
      </w:r>
    </w:p>
    <w:p w:rsidR="003A2140" w:rsidRDefault="003A2140" w:rsidP="00AB3A1C">
      <w:pPr>
        <w:widowControl w:val="0"/>
        <w:tabs>
          <w:tab w:val="right" w:leader="dot" w:pos="9360"/>
        </w:tabs>
        <w:rPr>
          <w:szCs w:val="26"/>
        </w:rPr>
      </w:pPr>
      <w:r>
        <w:rPr>
          <w:szCs w:val="26"/>
        </w:rPr>
        <w:t>DWI &amp; Implied Consent</w:t>
      </w:r>
      <w:r>
        <w:rPr>
          <w:szCs w:val="26"/>
        </w:rPr>
        <w:tab/>
      </w:r>
      <w:r w:rsidR="00E05304">
        <w:rPr>
          <w:szCs w:val="26"/>
        </w:rPr>
        <w:t>15</w:t>
      </w:r>
    </w:p>
    <w:p w:rsidR="00AB3A1C" w:rsidRPr="00816341" w:rsidRDefault="00AB3A1C" w:rsidP="00AB3A1C">
      <w:pPr>
        <w:widowControl w:val="0"/>
        <w:tabs>
          <w:tab w:val="right" w:leader="dot" w:pos="9360"/>
        </w:tabs>
        <w:rPr>
          <w:szCs w:val="26"/>
        </w:rPr>
      </w:pPr>
      <w:r>
        <w:rPr>
          <w:szCs w:val="26"/>
        </w:rPr>
        <w:t>Evidence</w:t>
      </w:r>
      <w:r w:rsidRPr="00816341">
        <w:rPr>
          <w:szCs w:val="26"/>
        </w:rPr>
        <w:tab/>
      </w:r>
      <w:r w:rsidR="00E05304">
        <w:rPr>
          <w:szCs w:val="26"/>
        </w:rPr>
        <w:t>16</w:t>
      </w:r>
    </w:p>
    <w:p w:rsidR="00AB3A1C" w:rsidRDefault="003A2140" w:rsidP="00AB3A1C">
      <w:pPr>
        <w:widowControl w:val="0"/>
        <w:tabs>
          <w:tab w:val="right" w:leader="dot" w:pos="9360"/>
        </w:tabs>
        <w:rPr>
          <w:szCs w:val="26"/>
        </w:rPr>
      </w:pPr>
      <w:r>
        <w:rPr>
          <w:szCs w:val="26"/>
        </w:rPr>
        <w:t>Guilty Pleas</w:t>
      </w:r>
      <w:r w:rsidR="00AB3A1C" w:rsidRPr="00816341">
        <w:rPr>
          <w:szCs w:val="26"/>
        </w:rPr>
        <w:tab/>
      </w:r>
      <w:r w:rsidR="00E05304">
        <w:rPr>
          <w:szCs w:val="26"/>
        </w:rPr>
        <w:t>17</w:t>
      </w:r>
    </w:p>
    <w:p w:rsidR="003A2140" w:rsidRDefault="003A2140" w:rsidP="00AB3A1C">
      <w:pPr>
        <w:widowControl w:val="0"/>
        <w:tabs>
          <w:tab w:val="right" w:leader="dot" w:pos="9360"/>
        </w:tabs>
        <w:rPr>
          <w:szCs w:val="26"/>
        </w:rPr>
      </w:pPr>
      <w:r>
        <w:rPr>
          <w:szCs w:val="26"/>
        </w:rPr>
        <w:t>Postconviction</w:t>
      </w:r>
      <w:r>
        <w:rPr>
          <w:szCs w:val="26"/>
        </w:rPr>
        <w:tab/>
      </w:r>
      <w:r w:rsidR="00E05304">
        <w:rPr>
          <w:szCs w:val="26"/>
        </w:rPr>
        <w:t>18</w:t>
      </w:r>
    </w:p>
    <w:p w:rsidR="00AB3A1C" w:rsidRDefault="00AB3A1C" w:rsidP="00AB3A1C">
      <w:pPr>
        <w:widowControl w:val="0"/>
        <w:tabs>
          <w:tab w:val="right" w:leader="dot" w:pos="9360"/>
        </w:tabs>
        <w:rPr>
          <w:szCs w:val="26"/>
        </w:rPr>
      </w:pPr>
      <w:r>
        <w:rPr>
          <w:szCs w:val="26"/>
        </w:rPr>
        <w:t>Pretrial Procedure</w:t>
      </w:r>
      <w:r w:rsidRPr="00816341">
        <w:rPr>
          <w:szCs w:val="26"/>
        </w:rPr>
        <w:tab/>
      </w:r>
      <w:r w:rsidR="00E05304">
        <w:rPr>
          <w:szCs w:val="26"/>
        </w:rPr>
        <w:t>18</w:t>
      </w:r>
    </w:p>
    <w:p w:rsidR="006B2827" w:rsidRPr="00816341" w:rsidRDefault="006B2827" w:rsidP="006B2827">
      <w:pPr>
        <w:widowControl w:val="0"/>
        <w:tabs>
          <w:tab w:val="right" w:leader="dot" w:pos="9360"/>
        </w:tabs>
        <w:rPr>
          <w:szCs w:val="26"/>
        </w:rPr>
      </w:pPr>
      <w:r>
        <w:rPr>
          <w:szCs w:val="26"/>
        </w:rPr>
        <w:t>Search &amp; Seizure</w:t>
      </w:r>
      <w:r w:rsidRPr="00816341">
        <w:rPr>
          <w:szCs w:val="26"/>
        </w:rPr>
        <w:tab/>
      </w:r>
      <w:r w:rsidR="00E05304">
        <w:rPr>
          <w:szCs w:val="26"/>
        </w:rPr>
        <w:t>19</w:t>
      </w:r>
    </w:p>
    <w:p w:rsidR="00AB3A1C" w:rsidRPr="00816341" w:rsidRDefault="00AB3A1C" w:rsidP="00AB3A1C">
      <w:pPr>
        <w:widowControl w:val="0"/>
        <w:tabs>
          <w:tab w:val="right" w:leader="dot" w:pos="9360"/>
        </w:tabs>
        <w:rPr>
          <w:szCs w:val="26"/>
        </w:rPr>
      </w:pPr>
      <w:r>
        <w:rPr>
          <w:szCs w:val="26"/>
        </w:rPr>
        <w:t>Sentencing</w:t>
      </w:r>
      <w:r w:rsidR="00E05304">
        <w:rPr>
          <w:szCs w:val="26"/>
        </w:rPr>
        <w:t xml:space="preserve"> &amp; Restitution</w:t>
      </w:r>
      <w:r w:rsidRPr="00816341">
        <w:rPr>
          <w:szCs w:val="26"/>
        </w:rPr>
        <w:tab/>
      </w:r>
      <w:r w:rsidR="00E05304">
        <w:rPr>
          <w:szCs w:val="26"/>
        </w:rPr>
        <w:t>20</w:t>
      </w:r>
    </w:p>
    <w:p w:rsidR="00E7766B" w:rsidRDefault="00E7766B" w:rsidP="00AB3A1C">
      <w:pPr>
        <w:widowControl w:val="0"/>
        <w:tabs>
          <w:tab w:val="right" w:leader="dot" w:pos="9360"/>
        </w:tabs>
        <w:rPr>
          <w:szCs w:val="26"/>
        </w:rPr>
      </w:pPr>
      <w:r>
        <w:rPr>
          <w:szCs w:val="26"/>
        </w:rPr>
        <w:t xml:space="preserve">Sex Offender Commitment </w:t>
      </w:r>
      <w:r w:rsidRPr="00816341">
        <w:rPr>
          <w:szCs w:val="26"/>
        </w:rPr>
        <w:tab/>
      </w:r>
      <w:r w:rsidR="00E05304">
        <w:rPr>
          <w:szCs w:val="26"/>
        </w:rPr>
        <w:t>22</w:t>
      </w:r>
    </w:p>
    <w:p w:rsidR="00AB3A1C" w:rsidRPr="00816341" w:rsidRDefault="00AB3A1C" w:rsidP="00AB3A1C">
      <w:pPr>
        <w:widowControl w:val="0"/>
        <w:tabs>
          <w:tab w:val="right" w:leader="dot" w:pos="9360"/>
        </w:tabs>
        <w:rPr>
          <w:szCs w:val="26"/>
        </w:rPr>
      </w:pPr>
      <w:r>
        <w:rPr>
          <w:szCs w:val="26"/>
        </w:rPr>
        <w:t>Substantive Criminal Law</w:t>
      </w:r>
      <w:r w:rsidRPr="00816341">
        <w:rPr>
          <w:szCs w:val="26"/>
        </w:rPr>
        <w:tab/>
      </w:r>
      <w:r w:rsidR="00E05304">
        <w:rPr>
          <w:szCs w:val="26"/>
        </w:rPr>
        <w:t>23</w:t>
      </w:r>
    </w:p>
    <w:p w:rsidR="00AB3A1C" w:rsidRDefault="00AB3A1C" w:rsidP="00AB3A1C">
      <w:pPr>
        <w:widowControl w:val="0"/>
        <w:tabs>
          <w:tab w:val="right" w:leader="dot" w:pos="9360"/>
        </w:tabs>
        <w:rPr>
          <w:szCs w:val="26"/>
        </w:rPr>
      </w:pPr>
      <w:r>
        <w:rPr>
          <w:szCs w:val="26"/>
        </w:rPr>
        <w:t>Trial Procedure</w:t>
      </w:r>
      <w:r w:rsidRPr="00816341">
        <w:rPr>
          <w:szCs w:val="26"/>
        </w:rPr>
        <w:tab/>
      </w:r>
      <w:r w:rsidR="002E0AC0">
        <w:rPr>
          <w:szCs w:val="26"/>
        </w:rPr>
        <w:t>24</w:t>
      </w:r>
    </w:p>
    <w:p w:rsidR="00214E2C" w:rsidRDefault="00214E2C">
      <w:pPr>
        <w:suppressAutoHyphens w:val="0"/>
        <w:jc w:val="left"/>
        <w:rPr>
          <w:szCs w:val="26"/>
        </w:rPr>
        <w:sectPr w:rsidR="00214E2C" w:rsidSect="005F446E">
          <w:footerReference w:type="default" r:id="rId15"/>
          <w:pgSz w:w="12240" w:h="15840"/>
          <w:pgMar w:top="1440" w:right="1440" w:bottom="1440" w:left="1440" w:header="720" w:footer="1152" w:gutter="0"/>
          <w:pgNumType w:fmt="lowerRoman" w:start="1"/>
          <w:cols w:space="720"/>
          <w:docGrid w:linePitch="360"/>
        </w:sectPr>
      </w:pPr>
    </w:p>
    <w:p w:rsidR="003856A1" w:rsidRPr="00E0265D" w:rsidRDefault="003856A1" w:rsidP="00E7766B">
      <w:pPr>
        <w:pStyle w:val="Heading2"/>
        <w:tabs>
          <w:tab w:val="left" w:pos="720"/>
          <w:tab w:val="left" w:pos="1440"/>
        </w:tabs>
        <w:rPr>
          <w:sz w:val="28"/>
          <w:szCs w:val="28"/>
        </w:rPr>
      </w:pPr>
      <w:r w:rsidRPr="00E0265D">
        <w:rPr>
          <w:sz w:val="28"/>
          <w:szCs w:val="28"/>
        </w:rPr>
        <w:lastRenderedPageBreak/>
        <w:t>PART I – CIVIL CASES</w:t>
      </w:r>
    </w:p>
    <w:p w:rsidR="003856A1" w:rsidRDefault="003856A1" w:rsidP="003856A1">
      <w:pPr>
        <w:tabs>
          <w:tab w:val="left" w:pos="720"/>
          <w:tab w:val="left" w:pos="1440"/>
          <w:tab w:val="left" w:pos="2160"/>
        </w:tabs>
        <w:rPr>
          <w:b/>
          <w:u w:val="single"/>
        </w:rPr>
      </w:pPr>
    </w:p>
    <w:p w:rsidR="00C000BD" w:rsidRPr="001B1811" w:rsidRDefault="00C000BD" w:rsidP="00852C98">
      <w:pPr>
        <w:tabs>
          <w:tab w:val="left" w:pos="720"/>
          <w:tab w:val="left" w:pos="1440"/>
          <w:tab w:val="left" w:pos="2160"/>
        </w:tabs>
      </w:pPr>
      <w:r>
        <w:rPr>
          <w:b/>
          <w:u w:val="single"/>
        </w:rPr>
        <w:t>Administrative Law</w:t>
      </w:r>
    </w:p>
    <w:p w:rsidR="00C000BD" w:rsidRDefault="00C000BD" w:rsidP="00852C98">
      <w:pPr>
        <w:rPr>
          <w:b/>
          <w:i/>
          <w:szCs w:val="26"/>
        </w:rPr>
      </w:pPr>
    </w:p>
    <w:p w:rsidR="00C000BD" w:rsidRPr="00EB51BF" w:rsidRDefault="00C000BD" w:rsidP="00852C98">
      <w:pPr>
        <w:tabs>
          <w:tab w:val="left" w:pos="720"/>
          <w:tab w:val="left" w:pos="1440"/>
          <w:tab w:val="left" w:pos="2160"/>
        </w:tabs>
      </w:pPr>
      <w:r w:rsidRPr="00EB51BF">
        <w:rPr>
          <w:b/>
          <w:i/>
        </w:rPr>
        <w:t xml:space="preserve">GH </w:t>
      </w:r>
      <w:r>
        <w:rPr>
          <w:b/>
          <w:i/>
        </w:rPr>
        <w:t xml:space="preserve">Holdings, LLC v. Minn. Dep’t </w:t>
      </w:r>
      <w:r w:rsidRPr="00EB51BF">
        <w:rPr>
          <w:b/>
          <w:i/>
        </w:rPr>
        <w:t>of Commerce,</w:t>
      </w:r>
      <w:r>
        <w:rPr>
          <w:b/>
          <w:i/>
        </w:rPr>
        <w:t xml:space="preserve"> </w:t>
      </w:r>
      <w:r>
        <w:rPr>
          <w:b/>
        </w:rPr>
        <w:t>840</w:t>
      </w:r>
      <w:r w:rsidRPr="00EB51BF">
        <w:rPr>
          <w:b/>
        </w:rPr>
        <w:t xml:space="preserve"> N.W.2d </w:t>
      </w:r>
      <w:r>
        <w:rPr>
          <w:b/>
        </w:rPr>
        <w:t>838</w:t>
      </w:r>
      <w:r w:rsidRPr="00EB51BF">
        <w:rPr>
          <w:b/>
        </w:rPr>
        <w:t xml:space="preserve"> (Minn. App. Dec.</w:t>
      </w:r>
      <w:r w:rsidR="0012508E">
        <w:rPr>
          <w:b/>
        </w:rPr>
        <w:t> </w:t>
      </w:r>
      <w:r w:rsidRPr="00EB51BF">
        <w:rPr>
          <w:b/>
        </w:rPr>
        <w:t>23, 2013) (A13-0281).</w:t>
      </w:r>
    </w:p>
    <w:p w:rsidR="00C000BD" w:rsidRPr="00EB51BF" w:rsidRDefault="00C000BD" w:rsidP="00852C98">
      <w:pPr>
        <w:pStyle w:val="Heading1"/>
        <w:keepNext w:val="0"/>
        <w:ind w:firstLine="720"/>
        <w:contextualSpacing/>
        <w:rPr>
          <w:b w:val="0"/>
          <w:szCs w:val="26"/>
        </w:rPr>
      </w:pPr>
      <w:r w:rsidRPr="00EB51BF">
        <w:rPr>
          <w:b w:val="0"/>
          <w:szCs w:val="26"/>
        </w:rPr>
        <w:t>When the Minnesota Petroleum Tank Release Compensation Board adopted Minn. R. 2890.4600, subp. 2(A) (2013), it exceeded its statutory authority by purporting to limit the evidence in a contested case to the written record submitted to the Minnesota Petroleum Tank Release Compensation Board. The limitation of evidence in Minn. R. 2890.4600, subp. 2(A), is therefore declared to be invalid.</w:t>
      </w:r>
    </w:p>
    <w:p w:rsidR="00C000BD" w:rsidRDefault="00C000BD" w:rsidP="00852C98">
      <w:pPr>
        <w:outlineLvl w:val="3"/>
        <w:rPr>
          <w:szCs w:val="26"/>
        </w:rPr>
      </w:pPr>
    </w:p>
    <w:p w:rsidR="00C000BD" w:rsidRDefault="00C000BD" w:rsidP="00852C98">
      <w:pPr>
        <w:rPr>
          <w:b/>
        </w:rPr>
      </w:pPr>
      <w:r>
        <w:rPr>
          <w:b/>
          <w:i/>
        </w:rPr>
        <w:t>Minn. Transitions Charter Sch. v. Comm’r of Minn. Dep’t of Educ.</w:t>
      </w:r>
      <w:r>
        <w:rPr>
          <w:b/>
        </w:rPr>
        <w:t xml:space="preserve">, 844 N.W.2d 223 (Minn. App. Mar. 17, 2014), </w:t>
      </w:r>
      <w:r w:rsidR="00772781">
        <w:rPr>
          <w:b/>
          <w:i/>
        </w:rPr>
        <w:t>review denied</w:t>
      </w:r>
      <w:r>
        <w:rPr>
          <w:b/>
          <w:i/>
        </w:rPr>
        <w:t xml:space="preserve"> </w:t>
      </w:r>
      <w:r>
        <w:rPr>
          <w:b/>
        </w:rPr>
        <w:t xml:space="preserve">(Minn. </w:t>
      </w:r>
      <w:r w:rsidR="00772781">
        <w:rPr>
          <w:b/>
        </w:rPr>
        <w:t>May 28, 2014</w:t>
      </w:r>
      <w:r>
        <w:rPr>
          <w:b/>
        </w:rPr>
        <w:t>) (A13-1232).</w:t>
      </w:r>
    </w:p>
    <w:p w:rsidR="00C000BD" w:rsidRPr="00400170" w:rsidRDefault="00C000BD" w:rsidP="00852C98">
      <w:pPr>
        <w:ind w:firstLine="720"/>
        <w:rPr>
          <w:b/>
        </w:rPr>
      </w:pPr>
      <w:r>
        <w:rPr>
          <w:szCs w:val="26"/>
        </w:rPr>
        <w:t>Charter schools are not eligible to operate alternative-learning programs under Minn. Stat. § 123A.05, subd. 1(a) (2012).</w:t>
      </w:r>
    </w:p>
    <w:p w:rsidR="00C000BD" w:rsidRDefault="00C000BD" w:rsidP="00852C98">
      <w:pPr>
        <w:outlineLvl w:val="0"/>
        <w:rPr>
          <w:b/>
          <w:i/>
          <w:szCs w:val="26"/>
        </w:rPr>
      </w:pPr>
    </w:p>
    <w:p w:rsidR="00F55ADA" w:rsidRDefault="00F55ADA" w:rsidP="00852C98">
      <w:pPr>
        <w:rPr>
          <w:szCs w:val="26"/>
        </w:rPr>
      </w:pPr>
    </w:p>
    <w:p w:rsidR="00C000BD" w:rsidRPr="007B36E1" w:rsidRDefault="00C000BD" w:rsidP="00852C98">
      <w:pPr>
        <w:rPr>
          <w:szCs w:val="26"/>
        </w:rPr>
      </w:pPr>
      <w:r>
        <w:rPr>
          <w:b/>
          <w:u w:val="single"/>
        </w:rPr>
        <w:t>Appellate Procedure &amp; Review</w:t>
      </w:r>
    </w:p>
    <w:p w:rsidR="00C000BD" w:rsidRDefault="00C000BD" w:rsidP="00852C98"/>
    <w:p w:rsidR="00D563B6" w:rsidRDefault="00D563B6" w:rsidP="00852C98">
      <w:pPr>
        <w:tabs>
          <w:tab w:val="left" w:pos="720"/>
          <w:tab w:val="left" w:pos="1440"/>
          <w:tab w:val="left" w:pos="2160"/>
        </w:tabs>
      </w:pPr>
      <w:r>
        <w:rPr>
          <w:b/>
          <w:i/>
        </w:rPr>
        <w:t>Weiss v. Private Capital, LLC</w:t>
      </w:r>
      <w:r>
        <w:rPr>
          <w:b/>
        </w:rPr>
        <w:t>, 839 N.W.2d 106 (Minn. App. Oct. 28, 2013) (A13-1098).</w:t>
      </w:r>
    </w:p>
    <w:p w:rsidR="00D563B6" w:rsidRDefault="00D563B6" w:rsidP="00852C98">
      <w:pPr>
        <w:tabs>
          <w:tab w:val="left" w:pos="720"/>
          <w:tab w:val="left" w:pos="1440"/>
          <w:tab w:val="left" w:pos="2160"/>
        </w:tabs>
        <w:rPr>
          <w:szCs w:val="26"/>
        </w:rPr>
      </w:pPr>
      <w:r>
        <w:rPr>
          <w:szCs w:val="26"/>
        </w:rPr>
        <w:tab/>
      </w:r>
      <w:r w:rsidRPr="00AC432B">
        <w:rPr>
          <w:szCs w:val="26"/>
        </w:rPr>
        <w:t xml:space="preserve">A request for attorney fees that is based on a contract is a separate claim of the type recognized in </w:t>
      </w:r>
      <w:r w:rsidRPr="00AC432B">
        <w:rPr>
          <w:i/>
        </w:rPr>
        <w:t>T. A. Schifsky &amp; Sons, Inc. v. Bahr Constr., LLC</w:t>
      </w:r>
      <w:r w:rsidRPr="00AC432B">
        <w:t>, 773 N.W.2d 783 (Minn. 2009)</w:t>
      </w:r>
      <w:r>
        <w:t>,</w:t>
      </w:r>
      <w:r w:rsidRPr="00AC432B">
        <w:t xml:space="preserve"> so </w:t>
      </w:r>
      <w:r w:rsidRPr="00AC432B">
        <w:rPr>
          <w:szCs w:val="26"/>
        </w:rPr>
        <w:t>that a judgment entered while such a request is pending is not a final and appealable judgment</w:t>
      </w:r>
      <w:r>
        <w:rPr>
          <w:szCs w:val="26"/>
        </w:rPr>
        <w:t>.</w:t>
      </w:r>
    </w:p>
    <w:p w:rsidR="00D563B6" w:rsidRDefault="00D563B6" w:rsidP="00852C98">
      <w:pPr>
        <w:tabs>
          <w:tab w:val="left" w:pos="720"/>
          <w:tab w:val="left" w:pos="1440"/>
          <w:tab w:val="left" w:pos="2160"/>
        </w:tabs>
      </w:pPr>
    </w:p>
    <w:p w:rsidR="00C000BD" w:rsidRPr="006B4641" w:rsidRDefault="00C000BD" w:rsidP="00852C98">
      <w:pPr>
        <w:tabs>
          <w:tab w:val="left" w:pos="720"/>
          <w:tab w:val="left" w:pos="1440"/>
          <w:tab w:val="left" w:pos="2160"/>
        </w:tabs>
        <w:rPr>
          <w:b/>
          <w:i/>
        </w:rPr>
      </w:pPr>
      <w:r>
        <w:rPr>
          <w:b/>
          <w:i/>
        </w:rPr>
        <w:t>Doe 175 ex rel. Doe 175 v. Columbia Heights Sch. Dist., ISD No. 13</w:t>
      </w:r>
      <w:r>
        <w:rPr>
          <w:b/>
        </w:rPr>
        <w:t>, 842 N.W.2d 38 (Minn. App. Jan. 21, 2014) (A13-0768).</w:t>
      </w:r>
    </w:p>
    <w:p w:rsidR="00C000BD" w:rsidRPr="00C55605" w:rsidRDefault="00C000BD" w:rsidP="00852C98">
      <w:pPr>
        <w:pStyle w:val="Heading1"/>
        <w:keepNext w:val="0"/>
        <w:rPr>
          <w:b w:val="0"/>
          <w:szCs w:val="26"/>
        </w:rPr>
      </w:pPr>
      <w:r>
        <w:rPr>
          <w:b w:val="0"/>
          <w:szCs w:val="26"/>
        </w:rPr>
        <w:tab/>
        <w:t>1.</w:t>
      </w:r>
      <w:r>
        <w:rPr>
          <w:b w:val="0"/>
          <w:szCs w:val="26"/>
        </w:rPr>
        <w:tab/>
        <w:t>An appellant may not obtain answers to questions certified by a district cou</w:t>
      </w:r>
      <w:r w:rsidRPr="008739B8">
        <w:rPr>
          <w:b w:val="0"/>
          <w:szCs w:val="26"/>
        </w:rPr>
        <w:t xml:space="preserve">rt </w:t>
      </w:r>
      <w:r>
        <w:rPr>
          <w:b w:val="0"/>
          <w:szCs w:val="26"/>
        </w:rPr>
        <w:t xml:space="preserve">if the district court did not consider the certified questions in its order denying a motion to dismiss or a motion for summary judgment, as required by </w:t>
      </w:r>
      <w:r w:rsidRPr="008739B8">
        <w:rPr>
          <w:b w:val="0"/>
          <w:szCs w:val="26"/>
        </w:rPr>
        <w:t>rule 103.03(i) of the Minnesota Rules of Civil Appellate Procedure</w:t>
      </w:r>
      <w:r>
        <w:rPr>
          <w:b w:val="0"/>
          <w:szCs w:val="26"/>
        </w:rPr>
        <w:t>.</w:t>
      </w:r>
    </w:p>
    <w:p w:rsidR="00C000BD" w:rsidRDefault="00C000BD" w:rsidP="00852C98">
      <w:pPr>
        <w:pStyle w:val="Heading1"/>
        <w:keepNext w:val="0"/>
        <w:ind w:firstLine="720"/>
        <w:rPr>
          <w:b w:val="0"/>
          <w:szCs w:val="26"/>
        </w:rPr>
      </w:pPr>
      <w:r>
        <w:rPr>
          <w:b w:val="0"/>
          <w:szCs w:val="26"/>
        </w:rPr>
        <w:t>2.</w:t>
      </w:r>
      <w:r>
        <w:rPr>
          <w:b w:val="0"/>
          <w:szCs w:val="26"/>
        </w:rPr>
        <w:tab/>
        <w:t>An appellant may not obtain answers to questions certified by a district cou</w:t>
      </w:r>
      <w:r w:rsidRPr="008739B8">
        <w:rPr>
          <w:b w:val="0"/>
          <w:szCs w:val="26"/>
        </w:rPr>
        <w:t xml:space="preserve">rt </w:t>
      </w:r>
      <w:r>
        <w:rPr>
          <w:b w:val="0"/>
          <w:szCs w:val="26"/>
        </w:rPr>
        <w:t>in the “interest of justice” if there is no other issue properly before the court, as required by rule 103.04 of the Minnesota Rules of Civil Appellate Procedure.</w:t>
      </w:r>
    </w:p>
    <w:p w:rsidR="00C000BD" w:rsidRPr="00F81894" w:rsidRDefault="00C000BD" w:rsidP="00852C98">
      <w:pPr>
        <w:pStyle w:val="Heading1"/>
        <w:keepNext w:val="0"/>
        <w:ind w:firstLine="720"/>
        <w:rPr>
          <w:b w:val="0"/>
          <w:szCs w:val="26"/>
        </w:rPr>
      </w:pPr>
      <w:r>
        <w:rPr>
          <w:b w:val="0"/>
          <w:szCs w:val="26"/>
        </w:rPr>
        <w:t>3.</w:t>
      </w:r>
      <w:r>
        <w:rPr>
          <w:b w:val="0"/>
          <w:szCs w:val="26"/>
        </w:rPr>
        <w:tab/>
        <w:t>In considering a petition for discretionary review of a non-appealable order that does not concern class certification,</w:t>
      </w:r>
      <w:r w:rsidRPr="00060390">
        <w:rPr>
          <w:b w:val="0"/>
          <w:szCs w:val="26"/>
        </w:rPr>
        <w:t xml:space="preserve"> </w:t>
      </w:r>
      <w:r>
        <w:rPr>
          <w:b w:val="0"/>
          <w:szCs w:val="26"/>
        </w:rPr>
        <w:t xml:space="preserve">pursuant to rule 105.01 of the Minnesota Rules of Civil Appellate Procedure, this court considers the factors identified in </w:t>
      </w:r>
      <w:r>
        <w:rPr>
          <w:b w:val="0"/>
          <w:i/>
          <w:szCs w:val="26"/>
        </w:rPr>
        <w:t>Gordon v. Microsoft Corp.</w:t>
      </w:r>
      <w:r>
        <w:rPr>
          <w:b w:val="0"/>
          <w:szCs w:val="26"/>
        </w:rPr>
        <w:t xml:space="preserve">, 645 N.W.2d 393 (Minn. 2002), and the factors identified in </w:t>
      </w:r>
      <w:r>
        <w:rPr>
          <w:b w:val="0"/>
          <w:i/>
          <w:szCs w:val="26"/>
        </w:rPr>
        <w:t>Valspar Refinish, Inc. v. Gaylord’s, Inc.</w:t>
      </w:r>
      <w:r>
        <w:rPr>
          <w:b w:val="0"/>
          <w:szCs w:val="26"/>
        </w:rPr>
        <w:t>, No. A05-1640 (Minn. Nov. 22, 2005) (order).</w:t>
      </w:r>
    </w:p>
    <w:p w:rsidR="00C000BD" w:rsidRPr="006B4641" w:rsidRDefault="00C000BD" w:rsidP="00852C98">
      <w:pPr>
        <w:pStyle w:val="Heading1"/>
        <w:keepNext w:val="0"/>
        <w:ind w:firstLine="720"/>
        <w:rPr>
          <w:b w:val="0"/>
          <w:szCs w:val="26"/>
        </w:rPr>
      </w:pPr>
      <w:r>
        <w:rPr>
          <w:b w:val="0"/>
          <w:szCs w:val="26"/>
        </w:rPr>
        <w:lastRenderedPageBreak/>
        <w:t>4</w:t>
      </w:r>
      <w:r w:rsidRPr="008739B8">
        <w:rPr>
          <w:b w:val="0"/>
          <w:szCs w:val="26"/>
        </w:rPr>
        <w:t>.</w:t>
      </w:r>
      <w:r w:rsidRPr="008739B8">
        <w:rPr>
          <w:b w:val="0"/>
          <w:szCs w:val="26"/>
        </w:rPr>
        <w:tab/>
      </w:r>
      <w:r>
        <w:rPr>
          <w:b w:val="0"/>
          <w:szCs w:val="26"/>
        </w:rPr>
        <w:t xml:space="preserve">A respondent may not </w:t>
      </w:r>
      <w:r w:rsidRPr="008739B8">
        <w:rPr>
          <w:b w:val="0"/>
          <w:szCs w:val="26"/>
        </w:rPr>
        <w:t xml:space="preserve">obtain </w:t>
      </w:r>
      <w:r>
        <w:rPr>
          <w:b w:val="0"/>
          <w:szCs w:val="26"/>
        </w:rPr>
        <w:t xml:space="preserve">interlocutory </w:t>
      </w:r>
      <w:r w:rsidRPr="008739B8">
        <w:rPr>
          <w:b w:val="0"/>
          <w:szCs w:val="26"/>
        </w:rPr>
        <w:t xml:space="preserve">appellate review of </w:t>
      </w:r>
      <w:r>
        <w:rPr>
          <w:b w:val="0"/>
          <w:szCs w:val="26"/>
        </w:rPr>
        <w:t xml:space="preserve">a </w:t>
      </w:r>
      <w:r w:rsidRPr="008739B8">
        <w:rPr>
          <w:b w:val="0"/>
          <w:szCs w:val="26"/>
        </w:rPr>
        <w:t>district court</w:t>
      </w:r>
      <w:r>
        <w:rPr>
          <w:b w:val="0"/>
          <w:szCs w:val="26"/>
        </w:rPr>
        <w:t>’</w:t>
      </w:r>
      <w:r w:rsidRPr="008739B8">
        <w:rPr>
          <w:b w:val="0"/>
          <w:szCs w:val="26"/>
        </w:rPr>
        <w:t xml:space="preserve">s partial grant of summary judgment </w:t>
      </w:r>
      <w:r>
        <w:rPr>
          <w:b w:val="0"/>
          <w:szCs w:val="26"/>
        </w:rPr>
        <w:t xml:space="preserve">by way of a notice of related appeal pursuant to rule 106 of the Minnesota Rules of Civil Appellate Procedure if the appellant’s underlying appeal is being </w:t>
      </w:r>
      <w:r w:rsidRPr="008739B8">
        <w:rPr>
          <w:b w:val="0"/>
          <w:szCs w:val="26"/>
        </w:rPr>
        <w:t>dismiss</w:t>
      </w:r>
      <w:r>
        <w:rPr>
          <w:b w:val="0"/>
          <w:szCs w:val="26"/>
        </w:rPr>
        <w:t xml:space="preserve">ed and if respondent </w:t>
      </w:r>
      <w:r w:rsidRPr="00BB1E58">
        <w:rPr>
          <w:b w:val="0"/>
          <w:szCs w:val="26"/>
        </w:rPr>
        <w:t>seeks review of an otherwise non-appealable order.</w:t>
      </w:r>
    </w:p>
    <w:p w:rsidR="00C000BD" w:rsidRDefault="00C000BD" w:rsidP="00852C98"/>
    <w:p w:rsidR="00031CDB" w:rsidRDefault="00031CDB" w:rsidP="00031CDB">
      <w:pPr>
        <w:rPr>
          <w:b/>
        </w:rPr>
      </w:pPr>
      <w:r>
        <w:rPr>
          <w:b/>
          <w:i/>
        </w:rPr>
        <w:t>Michaels v. First USA Title, LLC</w:t>
      </w:r>
      <w:r>
        <w:rPr>
          <w:b/>
        </w:rPr>
        <w:t xml:space="preserve">, </w:t>
      </w:r>
      <w:r w:rsidRPr="00DB25F3">
        <w:rPr>
          <w:b/>
        </w:rPr>
        <w:t>844 N.W.2d</w:t>
      </w:r>
      <w:r>
        <w:rPr>
          <w:b/>
        </w:rPr>
        <w:t xml:space="preserve"> 528 (Minn. App. Mar. 17, 2014) (A13-0757).</w:t>
      </w:r>
    </w:p>
    <w:p w:rsidR="00031CDB" w:rsidRDefault="00031CDB" w:rsidP="00031CDB">
      <w:pPr>
        <w:pStyle w:val="Heading1"/>
        <w:keepNext w:val="0"/>
        <w:ind w:firstLine="720"/>
        <w:rPr>
          <w:b w:val="0"/>
        </w:rPr>
      </w:pPr>
      <w:r>
        <w:rPr>
          <w:b w:val="0"/>
          <w:szCs w:val="26"/>
        </w:rPr>
        <w:t>1.</w:t>
      </w:r>
      <w:r w:rsidRPr="00244669">
        <w:rPr>
          <w:b w:val="0"/>
          <w:szCs w:val="26"/>
        </w:rPr>
        <w:tab/>
      </w:r>
      <w:r>
        <w:rPr>
          <w:b w:val="0"/>
          <w:szCs w:val="26"/>
        </w:rPr>
        <w:t xml:space="preserve">On appeal from a default judgment granted in a multiparty lawsuit in which the appellant did not participate at trial and did not move for a new trial, appellate review is limited to (1) substantive questions of law </w:t>
      </w:r>
      <w:r w:rsidRPr="00244669">
        <w:rPr>
          <w:b w:val="0"/>
        </w:rPr>
        <w:t xml:space="preserve">that the record </w:t>
      </w:r>
      <w:r>
        <w:rPr>
          <w:b w:val="0"/>
        </w:rPr>
        <w:t>shows</w:t>
      </w:r>
      <w:r w:rsidRPr="00244669">
        <w:rPr>
          <w:b w:val="0"/>
        </w:rPr>
        <w:t xml:space="preserve"> were argued </w:t>
      </w:r>
      <w:r>
        <w:rPr>
          <w:b w:val="0"/>
        </w:rPr>
        <w:t xml:space="preserve">to </w:t>
      </w:r>
      <w:r w:rsidRPr="00244669">
        <w:rPr>
          <w:b w:val="0"/>
        </w:rPr>
        <w:t>and decided</w:t>
      </w:r>
      <w:r>
        <w:rPr>
          <w:b w:val="0"/>
        </w:rPr>
        <w:t xml:space="preserve"> by the district court, (2) whether the record supports the district court’s findings of fact, and (3) whether those findings adequately support the district court’s conclusions of law and judgment.</w:t>
      </w:r>
    </w:p>
    <w:p w:rsidR="00031CDB" w:rsidRDefault="00031CDB" w:rsidP="00031CDB">
      <w:pPr>
        <w:ind w:firstLine="720"/>
      </w:pPr>
      <w:r>
        <w:t>2.</w:t>
      </w:r>
      <w:r>
        <w:tab/>
        <w:t xml:space="preserve">On appeal from a default judgment granted in a multiparty lawsuit in which the appellant did not participate at trial and did not move for a new trial, evidence </w:t>
      </w:r>
      <w:r w:rsidRPr="009223AD">
        <w:t xml:space="preserve">not introduced at trial is outside the record on appeal, even </w:t>
      </w:r>
      <w:r>
        <w:t>if</w:t>
      </w:r>
      <w:r w:rsidRPr="009223AD">
        <w:t xml:space="preserve"> the</w:t>
      </w:r>
      <w:r>
        <w:t xml:space="preserve"> </w:t>
      </w:r>
      <w:r w:rsidRPr="009223AD">
        <w:t xml:space="preserve">district court previously considered the </w:t>
      </w:r>
      <w:r>
        <w:t>evidence</w:t>
      </w:r>
      <w:r w:rsidRPr="009223AD">
        <w:t xml:space="preserve"> on</w:t>
      </w:r>
      <w:r>
        <w:t xml:space="preserve"> a motion for summary judgment.</w:t>
      </w:r>
    </w:p>
    <w:p w:rsidR="00031CDB" w:rsidRDefault="00031CDB" w:rsidP="00852C98"/>
    <w:p w:rsidR="008340A3" w:rsidRDefault="008340A3" w:rsidP="008340A3">
      <w:pPr>
        <w:rPr>
          <w:b/>
        </w:rPr>
      </w:pPr>
      <w:r>
        <w:rPr>
          <w:b/>
          <w:i/>
        </w:rPr>
        <w:t>State v. Griffin</w:t>
      </w:r>
      <w:r>
        <w:rPr>
          <w:b/>
        </w:rPr>
        <w:t xml:space="preserve">, 846 N.W.2d 93 (Minn. App. May 12, 2014), </w:t>
      </w:r>
      <w:r>
        <w:rPr>
          <w:b/>
          <w:i/>
        </w:rPr>
        <w:t>review denied</w:t>
      </w:r>
      <w:r>
        <w:rPr>
          <w:b/>
        </w:rPr>
        <w:t xml:space="preserve"> (Minn. Aug. 5, 2014) (A13-0400).  </w:t>
      </w:r>
    </w:p>
    <w:p w:rsidR="008340A3" w:rsidRPr="00BC2A40" w:rsidRDefault="00DC025E" w:rsidP="008340A3">
      <w:pPr>
        <w:suppressAutoHyphens w:val="0"/>
        <w:autoSpaceDE w:val="0"/>
        <w:autoSpaceDN w:val="0"/>
        <w:adjustRightInd w:val="0"/>
        <w:rPr>
          <w:color w:val="000000"/>
          <w:szCs w:val="26"/>
        </w:rPr>
      </w:pPr>
      <w:r>
        <w:rPr>
          <w:color w:val="000000"/>
          <w:szCs w:val="26"/>
        </w:rPr>
        <w:t>(See page</w:t>
      </w:r>
      <w:r w:rsidR="008340A3" w:rsidRPr="00BC2A40">
        <w:rPr>
          <w:color w:val="000000"/>
          <w:szCs w:val="26"/>
        </w:rPr>
        <w:t xml:space="preserve"> </w:t>
      </w:r>
      <w:r>
        <w:rPr>
          <w:color w:val="000000"/>
          <w:szCs w:val="26"/>
        </w:rPr>
        <w:t>16</w:t>
      </w:r>
      <w:r w:rsidR="008340A3" w:rsidRPr="00BC2A40">
        <w:rPr>
          <w:color w:val="000000"/>
          <w:szCs w:val="26"/>
        </w:rPr>
        <w:t xml:space="preserve"> for additional syllabus point for this case)</w:t>
      </w:r>
    </w:p>
    <w:p w:rsidR="008340A3" w:rsidRPr="00C2042F" w:rsidRDefault="008340A3" w:rsidP="008340A3">
      <w:pPr>
        <w:ind w:firstLine="720"/>
        <w:rPr>
          <w:b/>
        </w:rPr>
      </w:pPr>
      <w:r>
        <w:rPr>
          <w:szCs w:val="26"/>
        </w:rPr>
        <w:t>2.</w:t>
      </w:r>
      <w:r>
        <w:rPr>
          <w:szCs w:val="26"/>
        </w:rPr>
        <w:tab/>
      </w:r>
      <w:r w:rsidRPr="004A4C6A">
        <w:rPr>
          <w:szCs w:val="26"/>
        </w:rPr>
        <w:t>When an unobjected-to trial error is not one of fundamental law or controlling principle and is first raised by a postverdict motion for a new trial, our review of a denial of the motion for new trial is limited to plain-error review</w:t>
      </w:r>
      <w:r>
        <w:rPr>
          <w:szCs w:val="26"/>
        </w:rPr>
        <w:t>.</w:t>
      </w:r>
    </w:p>
    <w:p w:rsidR="00C000BD" w:rsidRDefault="00C000BD" w:rsidP="00852C98"/>
    <w:p w:rsidR="00C45BEC" w:rsidRDefault="00C45BEC" w:rsidP="00852C98">
      <w:pPr>
        <w:rPr>
          <w:b/>
        </w:rPr>
      </w:pPr>
      <w:r>
        <w:rPr>
          <w:b/>
          <w:i/>
        </w:rPr>
        <w:t>Larson v. Jesson</w:t>
      </w:r>
      <w:r>
        <w:rPr>
          <w:b/>
        </w:rPr>
        <w:t xml:space="preserve">, 847 N.W.2d 531 (Minn. App. June 9, 2014) (A14-0095).  </w:t>
      </w:r>
    </w:p>
    <w:p w:rsidR="00C45BEC" w:rsidRPr="00C45BEC" w:rsidRDefault="00C45BEC" w:rsidP="00852C98">
      <w:pPr>
        <w:ind w:firstLine="720"/>
        <w:rPr>
          <w:b/>
        </w:rPr>
      </w:pPr>
      <w:r w:rsidRPr="00C45BEC">
        <w:rPr>
          <w:color w:val="000000"/>
          <w:szCs w:val="26"/>
        </w:rPr>
        <w:t>When a judicial appeal panel dismisses a civil-commitment discharge petition under Minn. R. Civ. P. 41.02(b), the standard of appellate review is de novo.</w:t>
      </w:r>
    </w:p>
    <w:p w:rsidR="00C000BD" w:rsidRDefault="00C000BD" w:rsidP="00852C98">
      <w:pPr>
        <w:suppressAutoHyphens w:val="0"/>
        <w:rPr>
          <w:b/>
          <w:szCs w:val="26"/>
          <w:u w:val="single"/>
        </w:rPr>
      </w:pPr>
    </w:p>
    <w:p w:rsidR="00F55ADA" w:rsidRDefault="00F55ADA" w:rsidP="00852C98">
      <w:pPr>
        <w:suppressAutoHyphens w:val="0"/>
        <w:rPr>
          <w:b/>
          <w:szCs w:val="26"/>
          <w:u w:val="single"/>
        </w:rPr>
      </w:pPr>
    </w:p>
    <w:p w:rsidR="00C000BD" w:rsidRDefault="00C000BD" w:rsidP="00852C98">
      <w:pPr>
        <w:rPr>
          <w:b/>
          <w:szCs w:val="26"/>
          <w:u w:val="single"/>
        </w:rPr>
      </w:pPr>
      <w:r w:rsidRPr="00D61257">
        <w:rPr>
          <w:b/>
          <w:szCs w:val="26"/>
          <w:u w:val="single"/>
        </w:rPr>
        <w:t>Child Protection</w:t>
      </w:r>
    </w:p>
    <w:p w:rsidR="00C000BD" w:rsidRPr="00D61257" w:rsidRDefault="00C000BD" w:rsidP="00852C98">
      <w:pPr>
        <w:rPr>
          <w:szCs w:val="26"/>
        </w:rPr>
      </w:pPr>
    </w:p>
    <w:p w:rsidR="00D563B6" w:rsidRPr="00034760" w:rsidRDefault="00D563B6" w:rsidP="00852C98">
      <w:pPr>
        <w:tabs>
          <w:tab w:val="left" w:pos="720"/>
          <w:tab w:val="left" w:pos="1440"/>
          <w:tab w:val="left" w:pos="2160"/>
        </w:tabs>
        <w:rPr>
          <w:b/>
        </w:rPr>
      </w:pPr>
      <w:r w:rsidRPr="00034760">
        <w:rPr>
          <w:b/>
          <w:i/>
        </w:rPr>
        <w:t xml:space="preserve">In re Welfare </w:t>
      </w:r>
      <w:r w:rsidR="00363714">
        <w:rPr>
          <w:b/>
          <w:i/>
        </w:rPr>
        <w:t xml:space="preserve">of </w:t>
      </w:r>
      <w:r w:rsidRPr="00034760">
        <w:rPr>
          <w:b/>
          <w:i/>
        </w:rPr>
        <w:t>Children of M.A.H.</w:t>
      </w:r>
      <w:r w:rsidRPr="00034760">
        <w:rPr>
          <w:b/>
        </w:rPr>
        <w:t xml:space="preserve">, </w:t>
      </w:r>
      <w:r>
        <w:rPr>
          <w:b/>
        </w:rPr>
        <w:t>839</w:t>
      </w:r>
      <w:r w:rsidRPr="00034760">
        <w:rPr>
          <w:b/>
        </w:rPr>
        <w:t xml:space="preserve"> N.W.2d </w:t>
      </w:r>
      <w:r>
        <w:rPr>
          <w:b/>
        </w:rPr>
        <w:t>730</w:t>
      </w:r>
      <w:r w:rsidRPr="00034760">
        <w:rPr>
          <w:b/>
        </w:rPr>
        <w:t xml:space="preserve"> (Minn. App. Nov. 18, 2013) (A13-0834).</w:t>
      </w:r>
    </w:p>
    <w:p w:rsidR="00D563B6" w:rsidRPr="00034760" w:rsidRDefault="00D563B6" w:rsidP="00852C98">
      <w:pPr>
        <w:pStyle w:val="Heading1"/>
        <w:keepNext w:val="0"/>
        <w:ind w:firstLine="720"/>
        <w:rPr>
          <w:b w:val="0"/>
          <w:szCs w:val="26"/>
        </w:rPr>
      </w:pPr>
      <w:r w:rsidRPr="00034760">
        <w:rPr>
          <w:b w:val="0"/>
          <w:szCs w:val="26"/>
        </w:rPr>
        <w:t>1.</w:t>
      </w:r>
      <w:r w:rsidRPr="00034760">
        <w:rPr>
          <w:b w:val="0"/>
          <w:szCs w:val="26"/>
        </w:rPr>
        <w:tab/>
        <w:t xml:space="preserve">A district court may conclude that a severely malnourished child whose parents did not arrange for appropriate medical care has suffered egregious harm sufficient to establish the existence of a statutory ground to terminate parental rights.  </w:t>
      </w:r>
    </w:p>
    <w:p w:rsidR="00D563B6" w:rsidRDefault="00D563B6" w:rsidP="00852C98">
      <w:pPr>
        <w:pStyle w:val="Heading1"/>
        <w:keepNext w:val="0"/>
        <w:ind w:firstLine="720"/>
        <w:rPr>
          <w:b w:val="0"/>
        </w:rPr>
      </w:pPr>
      <w:r w:rsidRPr="00034760">
        <w:rPr>
          <w:b w:val="0"/>
          <w:szCs w:val="26"/>
        </w:rPr>
        <w:t>2.</w:t>
      </w:r>
      <w:r w:rsidRPr="00034760">
        <w:rPr>
          <w:b w:val="0"/>
          <w:szCs w:val="26"/>
        </w:rPr>
        <w:tab/>
        <w:t>The termination of parental rights to a child due to</w:t>
      </w:r>
      <w:r w:rsidRPr="00034760">
        <w:rPr>
          <w:b w:val="0"/>
        </w:rPr>
        <w:t xml:space="preserve"> egregious harm, allows, but does not require, termination of parental rights to the child’s siblings.</w:t>
      </w:r>
    </w:p>
    <w:p w:rsidR="00D563B6" w:rsidRPr="00D563B6" w:rsidRDefault="00D563B6" w:rsidP="00852C98"/>
    <w:p w:rsidR="00C000BD" w:rsidRDefault="00C000BD" w:rsidP="00852C98">
      <w:pPr>
        <w:outlineLvl w:val="0"/>
        <w:rPr>
          <w:rFonts w:hAnsi="Symbol"/>
          <w:b/>
        </w:rPr>
      </w:pPr>
      <w:r>
        <w:rPr>
          <w:rFonts w:hAnsi="Symbol"/>
          <w:b/>
          <w:i/>
        </w:rPr>
        <w:lastRenderedPageBreak/>
        <w:t>In re Welfare of Children of B.M.</w:t>
      </w:r>
      <w:r>
        <w:rPr>
          <w:rFonts w:hAnsi="Symbol"/>
          <w:b/>
        </w:rPr>
        <w:t xml:space="preserve">, </w:t>
      </w:r>
      <w:r w:rsidR="00D01C8A">
        <w:rPr>
          <w:b/>
        </w:rPr>
        <w:t>845</w:t>
      </w:r>
      <w:r w:rsidRPr="000C06F3">
        <w:rPr>
          <w:b/>
        </w:rPr>
        <w:t xml:space="preserve"> N.W.2d </w:t>
      </w:r>
      <w:r w:rsidR="00D01C8A">
        <w:rPr>
          <w:b/>
        </w:rPr>
        <w:t>558</w:t>
      </w:r>
      <w:r w:rsidRPr="000C06F3">
        <w:rPr>
          <w:b/>
        </w:rPr>
        <w:t xml:space="preserve"> </w:t>
      </w:r>
      <w:r>
        <w:rPr>
          <w:rFonts w:hAnsi="Symbol"/>
          <w:b/>
        </w:rPr>
        <w:t>(Minn. App. Apr. 21, 2014) (A13-2025).</w:t>
      </w:r>
    </w:p>
    <w:p w:rsidR="00C000BD" w:rsidRDefault="00C000BD" w:rsidP="00852C98">
      <w:pPr>
        <w:pStyle w:val="Heading1"/>
        <w:keepNext w:val="0"/>
        <w:ind w:firstLine="720"/>
        <w:rPr>
          <w:b w:val="0"/>
          <w:szCs w:val="26"/>
        </w:rPr>
      </w:pPr>
      <w:r>
        <w:rPr>
          <w:b w:val="0"/>
          <w:szCs w:val="26"/>
        </w:rPr>
        <w:t>1.</w:t>
      </w:r>
      <w:r>
        <w:rPr>
          <w:b w:val="0"/>
          <w:szCs w:val="26"/>
        </w:rPr>
        <w:tab/>
        <w:t>Mental impairment is not sufficient grounds to terminate a father’s parental rights to his child where there is no evidence that the impairment interfered with his ability to be a party to the parent-child relationship.</w:t>
      </w:r>
    </w:p>
    <w:p w:rsidR="00C000BD" w:rsidRPr="005264FF" w:rsidRDefault="00C000BD" w:rsidP="00852C98">
      <w:pPr>
        <w:ind w:firstLine="720"/>
      </w:pPr>
      <w:r>
        <w:t>2.</w:t>
      </w:r>
      <w:r>
        <w:tab/>
        <w:t>The district court abused its discretion by terminating appellant-father’s parental rights when it failed to find that the county undertook reasonable efforts to reunite parent and child.</w:t>
      </w:r>
    </w:p>
    <w:p w:rsidR="00C000BD" w:rsidRDefault="00C000BD" w:rsidP="00852C98">
      <w:pPr>
        <w:rPr>
          <w:b/>
          <w:u w:val="single"/>
        </w:rPr>
      </w:pPr>
    </w:p>
    <w:p w:rsidR="00AA1609" w:rsidRDefault="00AA1609" w:rsidP="00852C98">
      <w:pPr>
        <w:rPr>
          <w:b/>
          <w:u w:val="single"/>
        </w:rPr>
      </w:pPr>
    </w:p>
    <w:p w:rsidR="00C000BD" w:rsidRDefault="00C000BD" w:rsidP="00852C98">
      <w:pPr>
        <w:rPr>
          <w:b/>
          <w:u w:val="single"/>
        </w:rPr>
      </w:pPr>
      <w:r w:rsidRPr="00BA7A00">
        <w:rPr>
          <w:b/>
          <w:u w:val="single"/>
        </w:rPr>
        <w:t>Civil Procedure</w:t>
      </w:r>
    </w:p>
    <w:p w:rsidR="00C000BD" w:rsidRDefault="00C000BD" w:rsidP="00852C98">
      <w:pPr>
        <w:autoSpaceDE w:val="0"/>
        <w:autoSpaceDN w:val="0"/>
        <w:adjustRightInd w:val="0"/>
        <w:rPr>
          <w:szCs w:val="26"/>
        </w:rPr>
      </w:pPr>
    </w:p>
    <w:p w:rsidR="00C000BD" w:rsidRDefault="00C000BD" w:rsidP="00852C98">
      <w:pPr>
        <w:tabs>
          <w:tab w:val="left" w:pos="720"/>
          <w:tab w:val="left" w:pos="1440"/>
          <w:tab w:val="left" w:pos="2160"/>
        </w:tabs>
        <w:rPr>
          <w:b/>
        </w:rPr>
      </w:pPr>
      <w:r>
        <w:rPr>
          <w:b/>
          <w:i/>
        </w:rPr>
        <w:t>Finn v. Alliance Bank,</w:t>
      </w:r>
      <w:r>
        <w:rPr>
          <w:b/>
        </w:rPr>
        <w:t xml:space="preserve"> 838 N.W.2d 585 (Minn. App. Sept. 3, 2013), </w:t>
      </w:r>
      <w:r>
        <w:rPr>
          <w:b/>
          <w:i/>
        </w:rPr>
        <w:t>review granted</w:t>
      </w:r>
      <w:r>
        <w:rPr>
          <w:b/>
        </w:rPr>
        <w:t xml:space="preserve"> (Minn. Nov. 12, 2013) (A12-1930, A12-2092).</w:t>
      </w:r>
    </w:p>
    <w:p w:rsidR="00C000BD" w:rsidRDefault="00C000BD" w:rsidP="00852C98">
      <w:pPr>
        <w:pStyle w:val="Heading1"/>
        <w:keepNext w:val="0"/>
        <w:ind w:firstLine="720"/>
        <w:rPr>
          <w:b w:val="0"/>
          <w:szCs w:val="26"/>
        </w:rPr>
      </w:pPr>
      <w:r>
        <w:rPr>
          <w:b w:val="0"/>
          <w:szCs w:val="26"/>
        </w:rPr>
        <w:t>1.</w:t>
      </w:r>
      <w:r>
        <w:rPr>
          <w:b w:val="0"/>
          <w:szCs w:val="26"/>
        </w:rPr>
        <w:tab/>
        <w:t>Actual-fraud claims</w:t>
      </w:r>
      <w:r w:rsidRPr="00873965">
        <w:rPr>
          <w:b w:val="0"/>
          <w:szCs w:val="26"/>
        </w:rPr>
        <w:t xml:space="preserve"> under </w:t>
      </w:r>
      <w:r>
        <w:rPr>
          <w:b w:val="0"/>
          <w:szCs w:val="26"/>
        </w:rPr>
        <w:t>the Minnesota</w:t>
      </w:r>
      <w:r w:rsidRPr="00873965">
        <w:rPr>
          <w:b w:val="0"/>
          <w:szCs w:val="26"/>
        </w:rPr>
        <w:t xml:space="preserve"> Uniform F</w:t>
      </w:r>
      <w:r>
        <w:rPr>
          <w:b w:val="0"/>
          <w:szCs w:val="26"/>
        </w:rPr>
        <w:t xml:space="preserve">raudulent Transfer Act (the MUFTA), Minn. Stat. §§ 513.41-.51 (2012), are governed by the six-year statute of limitations of </w:t>
      </w:r>
      <w:r w:rsidRPr="00873965">
        <w:rPr>
          <w:b w:val="0"/>
          <w:szCs w:val="26"/>
        </w:rPr>
        <w:t>Minn. Stat. §</w:t>
      </w:r>
      <w:r w:rsidRPr="00873965">
        <w:rPr>
          <w:szCs w:val="26"/>
        </w:rPr>
        <w:t xml:space="preserve"> </w:t>
      </w:r>
      <w:r w:rsidRPr="00873965">
        <w:rPr>
          <w:b w:val="0"/>
          <w:szCs w:val="26"/>
        </w:rPr>
        <w:t xml:space="preserve">541.05, subd. 1(6) </w:t>
      </w:r>
      <w:r>
        <w:rPr>
          <w:b w:val="0"/>
          <w:szCs w:val="26"/>
        </w:rPr>
        <w:t xml:space="preserve">(2012), and accrue upon discovery by the aggrieved party of the facts constituting the fraud.    </w:t>
      </w:r>
    </w:p>
    <w:p w:rsidR="00C000BD" w:rsidRDefault="00C000BD" w:rsidP="00852C98">
      <w:pPr>
        <w:pStyle w:val="Heading1"/>
        <w:keepNext w:val="0"/>
        <w:ind w:firstLine="720"/>
        <w:rPr>
          <w:b w:val="0"/>
          <w:szCs w:val="26"/>
        </w:rPr>
      </w:pPr>
      <w:r>
        <w:rPr>
          <w:b w:val="0"/>
          <w:szCs w:val="26"/>
        </w:rPr>
        <w:t>2.</w:t>
      </w:r>
      <w:r>
        <w:rPr>
          <w:b w:val="0"/>
          <w:szCs w:val="26"/>
        </w:rPr>
        <w:tab/>
        <w:t>C</w:t>
      </w:r>
      <w:r w:rsidRPr="00873965">
        <w:rPr>
          <w:b w:val="0"/>
          <w:szCs w:val="26"/>
        </w:rPr>
        <w:t xml:space="preserve">onstructive-fraud claims brought under </w:t>
      </w:r>
      <w:r>
        <w:rPr>
          <w:b w:val="0"/>
          <w:szCs w:val="26"/>
        </w:rPr>
        <w:t xml:space="preserve">the </w:t>
      </w:r>
      <w:r w:rsidRPr="00873965">
        <w:rPr>
          <w:b w:val="0"/>
          <w:szCs w:val="26"/>
        </w:rPr>
        <w:t>MUFTA</w:t>
      </w:r>
      <w:r>
        <w:rPr>
          <w:b w:val="0"/>
          <w:szCs w:val="26"/>
        </w:rPr>
        <w:t xml:space="preserve"> are governed by</w:t>
      </w:r>
      <w:r w:rsidRPr="00873965">
        <w:rPr>
          <w:b w:val="0"/>
          <w:szCs w:val="26"/>
        </w:rPr>
        <w:t xml:space="preserve"> </w:t>
      </w:r>
      <w:r>
        <w:rPr>
          <w:b w:val="0"/>
          <w:szCs w:val="26"/>
        </w:rPr>
        <w:t xml:space="preserve">the six-year statute of limitations in </w:t>
      </w:r>
      <w:r w:rsidRPr="00873965">
        <w:rPr>
          <w:b w:val="0"/>
          <w:szCs w:val="26"/>
        </w:rPr>
        <w:t>Minn. Stat. § 541.05, subd. 1(2)</w:t>
      </w:r>
      <w:r>
        <w:rPr>
          <w:b w:val="0"/>
          <w:szCs w:val="26"/>
        </w:rPr>
        <w:t xml:space="preserve"> (2012), which does not contain a discovery provision.  </w:t>
      </w:r>
    </w:p>
    <w:p w:rsidR="00C000BD" w:rsidRDefault="00C000BD" w:rsidP="00852C98"/>
    <w:p w:rsidR="005264FF" w:rsidRPr="00EB51BF" w:rsidRDefault="005264FF" w:rsidP="00852C98">
      <w:pPr>
        <w:tabs>
          <w:tab w:val="left" w:pos="720"/>
          <w:tab w:val="left" w:pos="1440"/>
          <w:tab w:val="left" w:pos="2160"/>
        </w:tabs>
      </w:pPr>
      <w:r w:rsidRPr="00EB51BF">
        <w:rPr>
          <w:b/>
          <w:i/>
        </w:rPr>
        <w:t>Westfield Ins. Co. v. Wensmann, Inc.,</w:t>
      </w:r>
      <w:r w:rsidRPr="00EB51BF">
        <w:rPr>
          <w:b/>
        </w:rPr>
        <w:t xml:space="preserve"> </w:t>
      </w:r>
      <w:r>
        <w:rPr>
          <w:b/>
        </w:rPr>
        <w:t>840</w:t>
      </w:r>
      <w:r w:rsidRPr="00EB51BF">
        <w:rPr>
          <w:b/>
        </w:rPr>
        <w:t xml:space="preserve"> N.W.2d </w:t>
      </w:r>
      <w:r>
        <w:rPr>
          <w:b/>
        </w:rPr>
        <w:t>438</w:t>
      </w:r>
      <w:r w:rsidRPr="00EB51BF">
        <w:rPr>
          <w:b/>
        </w:rPr>
        <w:t xml:space="preserve"> (Minn. App. Dec. 16, 2013)</w:t>
      </w:r>
      <w:r>
        <w:rPr>
          <w:b/>
        </w:rPr>
        <w:t xml:space="preserve">, </w:t>
      </w:r>
      <w:r>
        <w:rPr>
          <w:b/>
          <w:i/>
        </w:rPr>
        <w:t>review denied</w:t>
      </w:r>
      <w:r>
        <w:rPr>
          <w:b/>
        </w:rPr>
        <w:t xml:space="preserve"> (Minn. Feb. 26, 2014)</w:t>
      </w:r>
      <w:r w:rsidRPr="00EB51BF">
        <w:rPr>
          <w:b/>
        </w:rPr>
        <w:t xml:space="preserve"> (A13-0532).</w:t>
      </w:r>
    </w:p>
    <w:p w:rsidR="005264FF" w:rsidRPr="00EB51BF" w:rsidRDefault="005264FF" w:rsidP="00852C98">
      <w:pPr>
        <w:ind w:firstLine="720"/>
        <w:outlineLvl w:val="0"/>
        <w:rPr>
          <w:snapToGrid w:val="0"/>
        </w:rPr>
      </w:pPr>
      <w:r w:rsidRPr="00EB51BF">
        <w:rPr>
          <w:snapToGrid w:val="0"/>
        </w:rPr>
        <w:t>1.</w:t>
      </w:r>
      <w:r w:rsidRPr="00EB51BF">
        <w:rPr>
          <w:snapToGrid w:val="0"/>
        </w:rPr>
        <w:tab/>
        <w:t xml:space="preserve">In a declaratory judgment action initiated by an insurer to declare the nonexistence of insurance coverage for a known loss, the district court does not err when it permits a nonparty making a claim against the insured to intervene in the coverage litigation.  </w:t>
      </w:r>
    </w:p>
    <w:p w:rsidR="005264FF" w:rsidRDefault="005264FF" w:rsidP="00852C98">
      <w:pPr>
        <w:ind w:firstLine="720"/>
        <w:outlineLvl w:val="0"/>
        <w:rPr>
          <w:snapToGrid w:val="0"/>
        </w:rPr>
      </w:pPr>
      <w:r w:rsidRPr="00EB51BF">
        <w:rPr>
          <w:snapToGrid w:val="0"/>
        </w:rPr>
        <w:t>2.</w:t>
      </w:r>
      <w:r w:rsidRPr="00EB51BF">
        <w:rPr>
          <w:snapToGrid w:val="0"/>
        </w:rPr>
        <w:tab/>
        <w:t>Vacation of a default declaratory judgment is appropriate when an intervenor with an interest in the declaratory judgment action was not notified of the commencement of the action until after default judgment was granted against the insured in default, and where the intervenor acts with due diligence in seeking vacation, shows a reasonable basis for its claim on the merits, and would be prejudiced if the default judgment were not vacated.</w:t>
      </w:r>
    </w:p>
    <w:p w:rsidR="005264FF" w:rsidRDefault="005264FF" w:rsidP="00FF0D88">
      <w:pPr>
        <w:outlineLvl w:val="0"/>
        <w:rPr>
          <w:snapToGrid w:val="0"/>
        </w:rPr>
      </w:pPr>
    </w:p>
    <w:p w:rsidR="00FF0D88" w:rsidRDefault="00FF0D88" w:rsidP="00FF0D88">
      <w:pPr>
        <w:tabs>
          <w:tab w:val="left" w:pos="720"/>
          <w:tab w:val="left" w:pos="1440"/>
          <w:tab w:val="left" w:pos="2160"/>
        </w:tabs>
      </w:pPr>
      <w:r>
        <w:rPr>
          <w:b/>
          <w:i/>
        </w:rPr>
        <w:t>Amica Mut. Ins. Co. v. Wartman</w:t>
      </w:r>
      <w:r>
        <w:rPr>
          <w:b/>
        </w:rPr>
        <w:t xml:space="preserve">, 841 N.W.2d 637 (Minn. App. Jan. 6, 2014), </w:t>
      </w:r>
      <w:r w:rsidRPr="00FC13F9">
        <w:rPr>
          <w:b/>
          <w:i/>
        </w:rPr>
        <w:t xml:space="preserve">review denied </w:t>
      </w:r>
      <w:r w:rsidRPr="00FC13F9">
        <w:rPr>
          <w:b/>
        </w:rPr>
        <w:t>(Minn. Mar. 18, 2014) (</w:t>
      </w:r>
      <w:r>
        <w:rPr>
          <w:b/>
        </w:rPr>
        <w:t>A13-0937).</w:t>
      </w:r>
    </w:p>
    <w:p w:rsidR="00FF0D88" w:rsidRPr="00D00E64" w:rsidRDefault="00FF0D88" w:rsidP="00FF0D88">
      <w:pPr>
        <w:tabs>
          <w:tab w:val="left" w:pos="720"/>
          <w:tab w:val="left" w:pos="1440"/>
          <w:tab w:val="left" w:pos="2160"/>
        </w:tabs>
      </w:pPr>
      <w:r>
        <w:rPr>
          <w:szCs w:val="26"/>
        </w:rPr>
        <w:tab/>
        <w:t xml:space="preserve">Minnesota law </w:t>
      </w:r>
      <w:r>
        <w:t>requires that an action upon a judgment be commenced “within ten years after the entry of such judgment.”  Minn. Stat. § 541.04 (2012</w:t>
      </w:r>
      <w:r w:rsidRPr="00D563F3">
        <w:t>)</w:t>
      </w:r>
      <w:r>
        <w:t xml:space="preserve">.  To extend a judgment beyond the ten-year period of limitations, the judgment creditor must bring suit against the original judgment debtor within the ten-year period.  An action against a </w:t>
      </w:r>
      <w:r>
        <w:lastRenderedPageBreak/>
        <w:t>corporate judgment debtor’s sole shareholder seeking to impose personal liability on the shareholder for a judgment against the corporation is not an action upon a judgment within the meaning of</w:t>
      </w:r>
      <w:r w:rsidRPr="00D45955">
        <w:t xml:space="preserve"> </w:t>
      </w:r>
      <w:r>
        <w:t>Minn. Stat. § 541.04.</w:t>
      </w:r>
    </w:p>
    <w:p w:rsidR="00FF0D88" w:rsidRDefault="00FF0D88" w:rsidP="00FF0D88">
      <w:pPr>
        <w:outlineLvl w:val="0"/>
        <w:rPr>
          <w:snapToGrid w:val="0"/>
        </w:rPr>
      </w:pPr>
    </w:p>
    <w:p w:rsidR="005264FF" w:rsidRDefault="005264FF" w:rsidP="00852C98">
      <w:pPr>
        <w:rPr>
          <w:b/>
        </w:rPr>
      </w:pPr>
      <w:r>
        <w:rPr>
          <w:b/>
          <w:i/>
        </w:rPr>
        <w:t>Zirnhelt v. Carter</w:t>
      </w:r>
      <w:r>
        <w:rPr>
          <w:b/>
        </w:rPr>
        <w:t>, 843 N.W.2d 270 (Minn. App. Mar. 3, 2014) (A13-1053).</w:t>
      </w:r>
    </w:p>
    <w:p w:rsidR="005264FF" w:rsidRPr="005345CB" w:rsidRDefault="005264FF" w:rsidP="00852C98">
      <w:pPr>
        <w:rPr>
          <w:b/>
        </w:rPr>
      </w:pPr>
      <w:r w:rsidRPr="00A073BD">
        <w:rPr>
          <w:szCs w:val="26"/>
        </w:rPr>
        <w:t xml:space="preserve">(See </w:t>
      </w:r>
      <w:r w:rsidR="00DE585E">
        <w:rPr>
          <w:szCs w:val="26"/>
        </w:rPr>
        <w:t xml:space="preserve">page </w:t>
      </w:r>
      <w:r w:rsidR="00DC025E">
        <w:rPr>
          <w:szCs w:val="26"/>
        </w:rPr>
        <w:t>13</w:t>
      </w:r>
      <w:r w:rsidRPr="00A073BD">
        <w:rPr>
          <w:szCs w:val="26"/>
        </w:rPr>
        <w:t xml:space="preserve"> for </w:t>
      </w:r>
      <w:r>
        <w:rPr>
          <w:szCs w:val="26"/>
        </w:rPr>
        <w:t xml:space="preserve">an </w:t>
      </w:r>
      <w:r w:rsidRPr="00A073BD">
        <w:rPr>
          <w:szCs w:val="26"/>
        </w:rPr>
        <w:t>additiona</w:t>
      </w:r>
      <w:r>
        <w:rPr>
          <w:szCs w:val="26"/>
        </w:rPr>
        <w:t>l syllabus point for this case</w:t>
      </w:r>
      <w:r w:rsidRPr="00A073BD">
        <w:rPr>
          <w:szCs w:val="26"/>
        </w:rPr>
        <w:t>)</w:t>
      </w:r>
    </w:p>
    <w:p w:rsidR="005264FF" w:rsidRPr="00343B73" w:rsidRDefault="005264FF" w:rsidP="00852C98">
      <w:pPr>
        <w:pStyle w:val="Heading1"/>
        <w:keepNext w:val="0"/>
        <w:numPr>
          <w:ilvl w:val="0"/>
          <w:numId w:val="40"/>
        </w:numPr>
        <w:ind w:left="0" w:firstLine="720"/>
        <w:rPr>
          <w:b w:val="0"/>
          <w:szCs w:val="26"/>
        </w:rPr>
      </w:pPr>
      <w:r>
        <w:rPr>
          <w:b w:val="0"/>
          <w:szCs w:val="26"/>
        </w:rPr>
        <w:t>A complaint filed in district court pursuant to Minn. R. Gen. Pract. 522 relates back to the date the corresponding statement of claim was filed in conciliation court pursuant to Minn. R. Gen. Pract. 505.</w:t>
      </w:r>
    </w:p>
    <w:p w:rsidR="005264FF" w:rsidRDefault="005264FF" w:rsidP="00852C98">
      <w:pPr>
        <w:outlineLvl w:val="3"/>
        <w:rPr>
          <w:szCs w:val="26"/>
        </w:rPr>
      </w:pPr>
    </w:p>
    <w:p w:rsidR="00C000BD" w:rsidRPr="000C06F3" w:rsidRDefault="00C000BD" w:rsidP="00852C98">
      <w:pPr>
        <w:rPr>
          <w:b/>
        </w:rPr>
      </w:pPr>
      <w:r w:rsidRPr="000C06F3">
        <w:rPr>
          <w:b/>
          <w:i/>
        </w:rPr>
        <w:t>HNA Props. v. Moore</w:t>
      </w:r>
      <w:r w:rsidRPr="000C06F3">
        <w:rPr>
          <w:b/>
        </w:rPr>
        <w:t xml:space="preserve">, </w:t>
      </w:r>
      <w:r w:rsidR="008F097E">
        <w:rPr>
          <w:b/>
        </w:rPr>
        <w:t>848</w:t>
      </w:r>
      <w:r w:rsidRPr="000C06F3">
        <w:rPr>
          <w:b/>
        </w:rPr>
        <w:t xml:space="preserve"> N.W.2d </w:t>
      </w:r>
      <w:r w:rsidR="008F097E">
        <w:rPr>
          <w:b/>
        </w:rPr>
        <w:t>238</w:t>
      </w:r>
      <w:r w:rsidRPr="000C06F3">
        <w:rPr>
          <w:b/>
        </w:rPr>
        <w:t xml:space="preserve"> (Minn. App. Mar. 17, 2014) (A13-0870). </w:t>
      </w:r>
    </w:p>
    <w:p w:rsidR="00C000BD" w:rsidRDefault="00C000BD" w:rsidP="00852C98">
      <w:pPr>
        <w:pStyle w:val="Heading1"/>
        <w:keepNext w:val="0"/>
        <w:numPr>
          <w:ilvl w:val="0"/>
          <w:numId w:val="43"/>
        </w:numPr>
        <w:ind w:left="0" w:firstLine="720"/>
        <w:rPr>
          <w:b w:val="0"/>
          <w:szCs w:val="26"/>
        </w:rPr>
      </w:pPr>
      <w:r>
        <w:rPr>
          <w:b w:val="0"/>
          <w:szCs w:val="26"/>
        </w:rPr>
        <w:t>According to the plain language of Minn. Stat. § 549.02, subd. 1 (2012), a defendant is entitled to $200 in costs upon dismissal of a case.</w:t>
      </w:r>
    </w:p>
    <w:p w:rsidR="00C000BD" w:rsidRPr="00271715" w:rsidRDefault="00C000BD" w:rsidP="00852C98">
      <w:pPr>
        <w:pStyle w:val="ListParagraph"/>
        <w:numPr>
          <w:ilvl w:val="0"/>
          <w:numId w:val="43"/>
        </w:numPr>
        <w:spacing w:line="240" w:lineRule="auto"/>
        <w:ind w:left="0" w:firstLine="720"/>
        <w:jc w:val="both"/>
      </w:pPr>
      <w:r>
        <w:t xml:space="preserve">A party who obtains a dismissal for procedural reasons is not a prevailing party. </w:t>
      </w:r>
    </w:p>
    <w:p w:rsidR="00C000BD" w:rsidRPr="00526AE2" w:rsidRDefault="00C000BD" w:rsidP="00852C98">
      <w:pPr>
        <w:pStyle w:val="ListParagraph"/>
        <w:numPr>
          <w:ilvl w:val="0"/>
          <w:numId w:val="43"/>
        </w:numPr>
        <w:spacing w:line="240" w:lineRule="auto"/>
        <w:ind w:left="0" w:firstLine="720"/>
        <w:jc w:val="both"/>
      </w:pPr>
      <w:r>
        <w:t>Minn. Stat. § 563.01, subd. 10 (2012), does not apply when a defendant is awarded statutory costs as a result of the district court’s dismissal of a case.</w:t>
      </w:r>
    </w:p>
    <w:p w:rsidR="00C000BD" w:rsidRDefault="00C000BD" w:rsidP="00852C98">
      <w:pPr>
        <w:autoSpaceDE w:val="0"/>
        <w:autoSpaceDN w:val="0"/>
        <w:adjustRightInd w:val="0"/>
        <w:rPr>
          <w:szCs w:val="26"/>
        </w:rPr>
      </w:pPr>
    </w:p>
    <w:p w:rsidR="00C000BD" w:rsidRPr="008C0E59" w:rsidRDefault="00C000BD" w:rsidP="00852C98">
      <w:pPr>
        <w:outlineLvl w:val="0"/>
        <w:rPr>
          <w:b/>
        </w:rPr>
      </w:pPr>
      <w:r>
        <w:rPr>
          <w:b/>
          <w:i/>
        </w:rPr>
        <w:t>Meeker v. IDS Prop. Cas. Ins. Co.</w:t>
      </w:r>
      <w:r>
        <w:rPr>
          <w:b/>
        </w:rPr>
        <w:t xml:space="preserve">, </w:t>
      </w:r>
      <w:r w:rsidR="004A7765">
        <w:rPr>
          <w:b/>
        </w:rPr>
        <w:t>846</w:t>
      </w:r>
      <w:r w:rsidRPr="000C06F3">
        <w:rPr>
          <w:b/>
        </w:rPr>
        <w:t xml:space="preserve"> N.W.2d</w:t>
      </w:r>
      <w:r w:rsidR="004A7765">
        <w:rPr>
          <w:b/>
        </w:rPr>
        <w:t xml:space="preserve"> 468</w:t>
      </w:r>
      <w:r w:rsidRPr="000C06F3">
        <w:rPr>
          <w:b/>
        </w:rPr>
        <w:t xml:space="preserve"> </w:t>
      </w:r>
      <w:r>
        <w:rPr>
          <w:b/>
        </w:rPr>
        <w:t xml:space="preserve">(Minn. App. Apr. 21, 2014), </w:t>
      </w:r>
      <w:r w:rsidR="00B25E17">
        <w:rPr>
          <w:b/>
          <w:i/>
        </w:rPr>
        <w:t xml:space="preserve">review granted </w:t>
      </w:r>
      <w:r w:rsidR="00B25E17">
        <w:rPr>
          <w:b/>
        </w:rPr>
        <w:t>(</w:t>
      </w:r>
      <w:r w:rsidR="001C2468">
        <w:rPr>
          <w:b/>
        </w:rPr>
        <w:t xml:space="preserve">Minn. </w:t>
      </w:r>
      <w:r w:rsidR="00B25E17">
        <w:rPr>
          <w:b/>
        </w:rPr>
        <w:t xml:space="preserve">June 25, 2014) </w:t>
      </w:r>
      <w:r>
        <w:rPr>
          <w:b/>
        </w:rPr>
        <w:t>(A13-1302).</w:t>
      </w:r>
    </w:p>
    <w:p w:rsidR="00C000BD" w:rsidRDefault="00C000BD" w:rsidP="00852C98">
      <w:pPr>
        <w:pStyle w:val="Heading1"/>
        <w:keepNext w:val="0"/>
        <w:ind w:firstLine="720"/>
        <w:rPr>
          <w:b w:val="0"/>
        </w:rPr>
      </w:pPr>
      <w:r w:rsidRPr="00A8518D">
        <w:rPr>
          <w:b w:val="0"/>
        </w:rPr>
        <w:t xml:space="preserve">Service of process under Minn. Stat. § 45.028, subd. 2 (2012), is effective if the plaintiff sends a copy of the process to the Minnesota </w:t>
      </w:r>
      <w:r>
        <w:rPr>
          <w:b w:val="0"/>
        </w:rPr>
        <w:t>C</w:t>
      </w:r>
      <w:r w:rsidRPr="00A8518D">
        <w:rPr>
          <w:b w:val="0"/>
        </w:rPr>
        <w:t>ommissioner of Commerce by certified mail</w:t>
      </w:r>
      <w:r w:rsidRPr="00A8518D">
        <w:t xml:space="preserve"> </w:t>
      </w:r>
      <w:r w:rsidRPr="00A8518D">
        <w:rPr>
          <w:b w:val="0"/>
        </w:rPr>
        <w:t xml:space="preserve">before the end of the </w:t>
      </w:r>
      <w:r>
        <w:rPr>
          <w:b w:val="0"/>
        </w:rPr>
        <w:t xml:space="preserve">applicable </w:t>
      </w:r>
      <w:r w:rsidRPr="00A8518D">
        <w:rPr>
          <w:b w:val="0"/>
        </w:rPr>
        <w:t>limitations period</w:t>
      </w:r>
      <w:r>
        <w:rPr>
          <w:b w:val="0"/>
        </w:rPr>
        <w:t xml:space="preserve"> and</w:t>
      </w:r>
      <w:r w:rsidRPr="00A8518D">
        <w:rPr>
          <w:b w:val="0"/>
        </w:rPr>
        <w:t xml:space="preserve"> </w:t>
      </w:r>
      <w:r>
        <w:rPr>
          <w:b w:val="0"/>
        </w:rPr>
        <w:t xml:space="preserve">sends notice of the service </w:t>
      </w:r>
      <w:r w:rsidRPr="00A8518D">
        <w:rPr>
          <w:b w:val="0"/>
        </w:rPr>
        <w:t>and</w:t>
      </w:r>
      <w:r>
        <w:rPr>
          <w:b w:val="0"/>
        </w:rPr>
        <w:t xml:space="preserve"> a copy of the process</w:t>
      </w:r>
      <w:r w:rsidRPr="00A8518D">
        <w:rPr>
          <w:b w:val="0"/>
        </w:rPr>
        <w:t xml:space="preserve"> to the </w:t>
      </w:r>
      <w:r>
        <w:rPr>
          <w:b w:val="0"/>
        </w:rPr>
        <w:t xml:space="preserve">defendant by certified mail and </w:t>
      </w:r>
      <w:r w:rsidRPr="00A8518D">
        <w:rPr>
          <w:b w:val="0"/>
        </w:rPr>
        <w:t>file</w:t>
      </w:r>
      <w:r>
        <w:rPr>
          <w:b w:val="0"/>
        </w:rPr>
        <w:t>s</w:t>
      </w:r>
      <w:r w:rsidRPr="00A8518D">
        <w:rPr>
          <w:b w:val="0"/>
        </w:rPr>
        <w:t xml:space="preserve"> the plaintiff’s affidavit of compliance in the action </w:t>
      </w:r>
      <w:r>
        <w:rPr>
          <w:b w:val="0"/>
        </w:rPr>
        <w:t xml:space="preserve">on or </w:t>
      </w:r>
      <w:r w:rsidRPr="00A8518D">
        <w:rPr>
          <w:b w:val="0"/>
        </w:rPr>
        <w:t>before the return day of the process.</w:t>
      </w:r>
    </w:p>
    <w:p w:rsidR="00C000BD" w:rsidRDefault="00C000BD" w:rsidP="00852C98">
      <w:pPr>
        <w:ind w:firstLine="720"/>
        <w:outlineLvl w:val="0"/>
        <w:rPr>
          <w:snapToGrid w:val="0"/>
        </w:rPr>
      </w:pPr>
    </w:p>
    <w:p w:rsidR="004A7765" w:rsidRPr="004A7765" w:rsidRDefault="00DE585E" w:rsidP="00852C98">
      <w:pPr>
        <w:rPr>
          <w:b/>
        </w:rPr>
      </w:pPr>
      <w:r>
        <w:rPr>
          <w:b/>
          <w:i/>
        </w:rPr>
        <w:t xml:space="preserve">Drews v. Federal Nat. Mortg. </w:t>
      </w:r>
      <w:r w:rsidR="004A7765">
        <w:rPr>
          <w:b/>
          <w:i/>
        </w:rPr>
        <w:t>Ass’n</w:t>
      </w:r>
      <w:r w:rsidR="004A7765">
        <w:rPr>
          <w:b/>
        </w:rPr>
        <w:t xml:space="preserve">, 850 N.W.2d 738 (Minn. App. July 21, 2014) (A13-1135).  </w:t>
      </w:r>
    </w:p>
    <w:p w:rsidR="004A7765" w:rsidRDefault="004A7765" w:rsidP="00852C98">
      <w:pPr>
        <w:rPr>
          <w:color w:val="000000"/>
          <w:szCs w:val="26"/>
        </w:rPr>
      </w:pPr>
      <w:r>
        <w:rPr>
          <w:color w:val="000000"/>
          <w:sz w:val="24"/>
          <w:szCs w:val="24"/>
        </w:rPr>
        <w:tab/>
      </w:r>
      <w:r w:rsidRPr="004A7765">
        <w:rPr>
          <w:color w:val="000000"/>
          <w:szCs w:val="26"/>
        </w:rPr>
        <w:t>Minn. Stat. § 580.03 (2012) requires a notice of foreclosure sale to be served in like manner as a summons in a civil action. Service cannot be avoided by physically refusing to accept the papers. When a party produces evidence of proper service, the burden shifts to the party challenging service to show by clear and convincing evidence that service was improper. Shifting the burden of production is not inconsistent with the strict-compliance standard applicable to Minn. Stat. § 580.03.</w:t>
      </w:r>
    </w:p>
    <w:p w:rsidR="00C266AF" w:rsidRDefault="00C266AF" w:rsidP="00852C98">
      <w:pPr>
        <w:rPr>
          <w:color w:val="000000"/>
          <w:szCs w:val="26"/>
        </w:rPr>
      </w:pPr>
    </w:p>
    <w:p w:rsidR="00C266AF" w:rsidRPr="00C266AF" w:rsidRDefault="00C266AF" w:rsidP="00852C98">
      <w:pPr>
        <w:rPr>
          <w:b/>
          <w:color w:val="000000"/>
          <w:szCs w:val="26"/>
        </w:rPr>
      </w:pPr>
      <w:r>
        <w:rPr>
          <w:b/>
          <w:i/>
          <w:color w:val="000000"/>
          <w:szCs w:val="26"/>
        </w:rPr>
        <w:t>Hogenson v. Hogenson</w:t>
      </w:r>
      <w:r w:rsidR="004B7C48">
        <w:rPr>
          <w:b/>
          <w:color w:val="000000"/>
          <w:szCs w:val="26"/>
        </w:rPr>
        <w:t>, 852 N.W.2d 266</w:t>
      </w:r>
      <w:r>
        <w:rPr>
          <w:b/>
          <w:color w:val="000000"/>
          <w:szCs w:val="26"/>
        </w:rPr>
        <w:t xml:space="preserve"> (Minn. App. Aug. 11, 2014) (A13-1846).  </w:t>
      </w:r>
    </w:p>
    <w:p w:rsidR="00C266AF" w:rsidRPr="00C266AF" w:rsidRDefault="00C266AF" w:rsidP="00852C98">
      <w:pPr>
        <w:ind w:firstLine="720"/>
        <w:rPr>
          <w:b/>
        </w:rPr>
      </w:pPr>
      <w:r w:rsidRPr="00C266AF">
        <w:rPr>
          <w:color w:val="000000"/>
          <w:szCs w:val="26"/>
        </w:rPr>
        <w:t>The phrase “[e]xcept as otherwise . . . allowed by law” in Minn. Stat. § 549.09, subd. 1(b) (2012), requires that, when the common law permits recovery of preverdict interest on a claim, preverdict interest on any award be calculated according to common law principles. When preverdict interest is not available under common law, it should be calculated exclusively under Minn. Stat. § 549.09, subd. 1(b).</w:t>
      </w:r>
    </w:p>
    <w:p w:rsidR="00C000BD" w:rsidRDefault="00C000BD" w:rsidP="00852C98">
      <w:pPr>
        <w:rPr>
          <w:b/>
          <w:u w:val="single"/>
        </w:rPr>
      </w:pPr>
      <w:r>
        <w:rPr>
          <w:b/>
          <w:u w:val="single"/>
        </w:rPr>
        <w:lastRenderedPageBreak/>
        <w:t>Constitutional Law</w:t>
      </w:r>
    </w:p>
    <w:p w:rsidR="00C000BD" w:rsidRDefault="00C000BD" w:rsidP="00852C98">
      <w:pPr>
        <w:rPr>
          <w:b/>
          <w:u w:val="single"/>
        </w:rPr>
      </w:pPr>
    </w:p>
    <w:p w:rsidR="00C000BD" w:rsidRDefault="00C000BD" w:rsidP="00852C98">
      <w:pPr>
        <w:rPr>
          <w:b/>
        </w:rPr>
      </w:pPr>
      <w:r>
        <w:rPr>
          <w:b/>
          <w:i/>
        </w:rPr>
        <w:t xml:space="preserve">State </w:t>
      </w:r>
      <w:r w:rsidR="004826C7">
        <w:rPr>
          <w:b/>
          <w:i/>
        </w:rPr>
        <w:t>ex rel.</w:t>
      </w:r>
      <w:r>
        <w:rPr>
          <w:b/>
          <w:i/>
        </w:rPr>
        <w:t xml:space="preserve"> Swanson v. Integrity Advance, LLC</w:t>
      </w:r>
      <w:r>
        <w:rPr>
          <w:b/>
        </w:rPr>
        <w:t xml:space="preserve">, </w:t>
      </w:r>
      <w:r w:rsidR="00E2272B">
        <w:rPr>
          <w:b/>
        </w:rPr>
        <w:t>846</w:t>
      </w:r>
      <w:r w:rsidRPr="000C06F3">
        <w:rPr>
          <w:b/>
        </w:rPr>
        <w:t xml:space="preserve"> N.W.2d </w:t>
      </w:r>
      <w:r w:rsidR="00E2272B">
        <w:rPr>
          <w:b/>
        </w:rPr>
        <w:t>435</w:t>
      </w:r>
      <w:r w:rsidRPr="000C06F3">
        <w:rPr>
          <w:b/>
        </w:rPr>
        <w:t xml:space="preserve"> </w:t>
      </w:r>
      <w:r>
        <w:rPr>
          <w:b/>
        </w:rPr>
        <w:t>(Minn. App. Mar.</w:t>
      </w:r>
      <w:r w:rsidR="00901E65">
        <w:rPr>
          <w:b/>
        </w:rPr>
        <w:t> </w:t>
      </w:r>
      <w:r>
        <w:rPr>
          <w:b/>
        </w:rPr>
        <w:t xml:space="preserve">31, 2014), </w:t>
      </w:r>
      <w:r w:rsidR="00E2272B">
        <w:rPr>
          <w:b/>
          <w:i/>
        </w:rPr>
        <w:t xml:space="preserve">review granted </w:t>
      </w:r>
      <w:r w:rsidR="00E2272B">
        <w:rPr>
          <w:b/>
        </w:rPr>
        <w:t>(</w:t>
      </w:r>
      <w:r w:rsidR="004826C7">
        <w:rPr>
          <w:b/>
        </w:rPr>
        <w:t xml:space="preserve">Minn. </w:t>
      </w:r>
      <w:r w:rsidR="00E2272B">
        <w:rPr>
          <w:b/>
        </w:rPr>
        <w:t>June 17, 2014)</w:t>
      </w:r>
      <w:r>
        <w:rPr>
          <w:b/>
        </w:rPr>
        <w:t xml:space="preserve"> (A13-1388).</w:t>
      </w:r>
    </w:p>
    <w:p w:rsidR="00C000BD" w:rsidRPr="00DD7159" w:rsidRDefault="00C000BD" w:rsidP="00852C98">
      <w:pPr>
        <w:pStyle w:val="Heading1"/>
        <w:keepNext w:val="0"/>
        <w:ind w:firstLine="720"/>
        <w:rPr>
          <w:b w:val="0"/>
          <w:szCs w:val="26"/>
        </w:rPr>
      </w:pPr>
      <w:r w:rsidRPr="00085342">
        <w:rPr>
          <w:b w:val="0"/>
        </w:rPr>
        <w:t>The</w:t>
      </w:r>
      <w:r>
        <w:rPr>
          <w:b w:val="0"/>
        </w:rPr>
        <w:t xml:space="preserve"> prohibition of the Dormant Commerce Clause of the </w:t>
      </w:r>
      <w:r w:rsidRPr="00085342">
        <w:rPr>
          <w:b w:val="0"/>
        </w:rPr>
        <w:t>United States Constitution</w:t>
      </w:r>
      <w:r>
        <w:rPr>
          <w:b w:val="0"/>
        </w:rPr>
        <w:t xml:space="preserve"> against the </w:t>
      </w:r>
      <w:r w:rsidRPr="009935AC">
        <w:rPr>
          <w:b w:val="0"/>
        </w:rPr>
        <w:t>enact</w:t>
      </w:r>
      <w:r>
        <w:rPr>
          <w:b w:val="0"/>
        </w:rPr>
        <w:t xml:space="preserve">ment of </w:t>
      </w:r>
      <w:r w:rsidRPr="009935AC">
        <w:rPr>
          <w:b w:val="0"/>
        </w:rPr>
        <w:t>statutes that discriminate against or unduly burden interstate commerce</w:t>
      </w:r>
      <w:r>
        <w:rPr>
          <w:b w:val="0"/>
        </w:rPr>
        <w:t xml:space="preserve"> </w:t>
      </w:r>
      <w:r w:rsidRPr="00085342">
        <w:rPr>
          <w:b w:val="0"/>
        </w:rPr>
        <w:t xml:space="preserve">does not preclude </w:t>
      </w:r>
      <w:r>
        <w:rPr>
          <w:b w:val="0"/>
        </w:rPr>
        <w:t xml:space="preserve">Minnesota’s regulation of an online payday lender  when the lender extends loans </w:t>
      </w:r>
      <w:r w:rsidRPr="00085342">
        <w:rPr>
          <w:b w:val="0"/>
        </w:rPr>
        <w:t xml:space="preserve">to Minnesotans </w:t>
      </w:r>
      <w:r>
        <w:rPr>
          <w:b w:val="0"/>
        </w:rPr>
        <w:t xml:space="preserve">and </w:t>
      </w:r>
      <w:r w:rsidRPr="00085342">
        <w:rPr>
          <w:b w:val="0"/>
        </w:rPr>
        <w:t>such commerce i</w:t>
      </w:r>
      <w:r>
        <w:rPr>
          <w:b w:val="0"/>
        </w:rPr>
        <w:t>s not wholly extraterritorial.</w:t>
      </w:r>
    </w:p>
    <w:p w:rsidR="00C000BD" w:rsidRDefault="00C000BD" w:rsidP="00852C98">
      <w:pPr>
        <w:rPr>
          <w:b/>
        </w:rPr>
      </w:pPr>
    </w:p>
    <w:p w:rsidR="00AA1609" w:rsidRPr="007A6666" w:rsidRDefault="00AA1609" w:rsidP="00852C98">
      <w:pPr>
        <w:rPr>
          <w:b/>
        </w:rPr>
      </w:pPr>
    </w:p>
    <w:p w:rsidR="00C000BD" w:rsidRDefault="00C000BD" w:rsidP="00852C98">
      <w:pPr>
        <w:tabs>
          <w:tab w:val="left" w:pos="720"/>
          <w:tab w:val="left" w:pos="1440"/>
          <w:tab w:val="left" w:pos="2160"/>
        </w:tabs>
        <w:rPr>
          <w:b/>
          <w:u w:val="single"/>
        </w:rPr>
      </w:pPr>
      <w:r>
        <w:rPr>
          <w:b/>
          <w:u w:val="single"/>
        </w:rPr>
        <w:t>Contracts</w:t>
      </w:r>
    </w:p>
    <w:p w:rsidR="00C000BD" w:rsidRDefault="00C000BD" w:rsidP="00852C98">
      <w:pPr>
        <w:suppressAutoHyphens w:val="0"/>
      </w:pPr>
    </w:p>
    <w:p w:rsidR="00C000BD" w:rsidRDefault="00C000BD" w:rsidP="00852C98">
      <w:pPr>
        <w:rPr>
          <w:b/>
        </w:rPr>
      </w:pPr>
      <w:r>
        <w:rPr>
          <w:b/>
          <w:i/>
        </w:rPr>
        <w:t>Geneva JPM 2003-PM1, LLC v. Geneva FSCX I, LLC</w:t>
      </w:r>
      <w:r>
        <w:rPr>
          <w:b/>
        </w:rPr>
        <w:t>, 843 N.W.2d 263 (Minn. App. Mar. 3, 2014) (A13-0718).</w:t>
      </w:r>
    </w:p>
    <w:p w:rsidR="00C000BD" w:rsidRPr="005345CB" w:rsidRDefault="00C000BD" w:rsidP="00852C98">
      <w:pPr>
        <w:pStyle w:val="Heading1"/>
        <w:keepNext w:val="0"/>
        <w:ind w:firstLine="720"/>
        <w:rPr>
          <w:b w:val="0"/>
          <w:szCs w:val="26"/>
        </w:rPr>
      </w:pPr>
      <w:r>
        <w:rPr>
          <w:b w:val="0"/>
          <w:szCs w:val="26"/>
        </w:rPr>
        <w:t xml:space="preserve">Absent contractual language indicating otherwise, the amount a creditor may collect on a guaranty </w:t>
      </w:r>
      <w:r w:rsidRPr="00A514EC">
        <w:rPr>
          <w:b w:val="0"/>
          <w:szCs w:val="26"/>
        </w:rPr>
        <w:t xml:space="preserve">depends on </w:t>
      </w:r>
      <w:r>
        <w:rPr>
          <w:b w:val="0"/>
          <w:szCs w:val="26"/>
        </w:rPr>
        <w:t xml:space="preserve">the balance of the debt at the time the </w:t>
      </w:r>
      <w:r w:rsidRPr="00A514EC">
        <w:rPr>
          <w:b w:val="0"/>
          <w:szCs w:val="26"/>
        </w:rPr>
        <w:t xml:space="preserve">creditor </w:t>
      </w:r>
      <w:r>
        <w:rPr>
          <w:b w:val="0"/>
          <w:szCs w:val="26"/>
        </w:rPr>
        <w:t>invokes its rights under the guaranty.</w:t>
      </w:r>
    </w:p>
    <w:p w:rsidR="00C000BD" w:rsidRDefault="00C000BD" w:rsidP="00852C98">
      <w:pPr>
        <w:suppressAutoHyphens w:val="0"/>
        <w:rPr>
          <w:b/>
          <w:i/>
          <w:szCs w:val="26"/>
        </w:rPr>
      </w:pPr>
    </w:p>
    <w:p w:rsidR="00EA17F8" w:rsidRPr="00EA17F8" w:rsidRDefault="00EA17F8" w:rsidP="00852C98">
      <w:pPr>
        <w:suppressAutoHyphens w:val="0"/>
        <w:rPr>
          <w:b/>
          <w:szCs w:val="26"/>
        </w:rPr>
      </w:pPr>
      <w:r>
        <w:rPr>
          <w:b/>
          <w:i/>
          <w:szCs w:val="26"/>
        </w:rPr>
        <w:t>Kalenburg v. Klein</w:t>
      </w:r>
      <w:r>
        <w:rPr>
          <w:b/>
          <w:szCs w:val="26"/>
        </w:rPr>
        <w:t>, 847 N.W.2d 34 (Minn.</w:t>
      </w:r>
      <w:r w:rsidR="00FF0D88">
        <w:rPr>
          <w:b/>
          <w:szCs w:val="26"/>
        </w:rPr>
        <w:t xml:space="preserve"> App. May 12, 2014) (A13-0707).</w:t>
      </w:r>
    </w:p>
    <w:p w:rsidR="00EA17F8" w:rsidRDefault="00EA17F8" w:rsidP="00852C98">
      <w:pPr>
        <w:suppressAutoHyphens w:val="0"/>
        <w:rPr>
          <w:color w:val="000000"/>
          <w:szCs w:val="26"/>
        </w:rPr>
      </w:pPr>
      <w:r>
        <w:rPr>
          <w:color w:val="000000"/>
          <w:sz w:val="24"/>
          <w:szCs w:val="24"/>
        </w:rPr>
        <w:tab/>
      </w:r>
      <w:r w:rsidRPr="00EA17F8">
        <w:rPr>
          <w:color w:val="000000"/>
          <w:szCs w:val="26"/>
        </w:rPr>
        <w:t>A residential-property purchase agreement providing that it cancels by its own terms and that either the buyer or the seller may obtain a declaratory cancellation under Minnesota Statutes section 559.217, subdivision 4 (2012), permits, but does not require, a declaratory cancellation.</w:t>
      </w:r>
    </w:p>
    <w:p w:rsidR="00C2056E" w:rsidRDefault="00C2056E" w:rsidP="00852C98">
      <w:pPr>
        <w:suppressAutoHyphens w:val="0"/>
        <w:rPr>
          <w:color w:val="000000"/>
          <w:szCs w:val="26"/>
        </w:rPr>
      </w:pPr>
    </w:p>
    <w:p w:rsidR="00C2056E" w:rsidRDefault="00C2056E" w:rsidP="00852C98">
      <w:pPr>
        <w:suppressAutoHyphens w:val="0"/>
        <w:rPr>
          <w:b/>
          <w:color w:val="000000"/>
          <w:szCs w:val="26"/>
        </w:rPr>
      </w:pPr>
      <w:r>
        <w:rPr>
          <w:b/>
          <w:i/>
          <w:color w:val="000000"/>
          <w:szCs w:val="26"/>
        </w:rPr>
        <w:t>SN4, LLC v. Anchor Bank, FSB</w:t>
      </w:r>
      <w:r>
        <w:rPr>
          <w:b/>
          <w:color w:val="000000"/>
          <w:szCs w:val="26"/>
        </w:rPr>
        <w:t>, 848 N.W.2d 559 (Minn. App. June 2, 2014)</w:t>
      </w:r>
      <w:r w:rsidR="004826C7">
        <w:rPr>
          <w:b/>
          <w:color w:val="000000"/>
          <w:szCs w:val="26"/>
        </w:rPr>
        <w:t xml:space="preserve">, </w:t>
      </w:r>
      <w:r w:rsidR="004826C7">
        <w:rPr>
          <w:b/>
          <w:i/>
          <w:color w:val="000000"/>
          <w:szCs w:val="26"/>
        </w:rPr>
        <w:t xml:space="preserve">review denied </w:t>
      </w:r>
      <w:r w:rsidR="004826C7" w:rsidRPr="004826C7">
        <w:rPr>
          <w:b/>
          <w:color w:val="000000"/>
          <w:szCs w:val="26"/>
        </w:rPr>
        <w:t>(Minn. Sept. 16, 2014)</w:t>
      </w:r>
      <w:r>
        <w:rPr>
          <w:b/>
          <w:color w:val="000000"/>
          <w:szCs w:val="26"/>
        </w:rPr>
        <w:t xml:space="preserve"> (A13-1566).  </w:t>
      </w:r>
    </w:p>
    <w:p w:rsidR="00C2056E" w:rsidRPr="00C2056E" w:rsidRDefault="00C2056E" w:rsidP="00852C98">
      <w:pPr>
        <w:suppressAutoHyphens w:val="0"/>
        <w:ind w:firstLine="720"/>
        <w:rPr>
          <w:b/>
          <w:szCs w:val="26"/>
        </w:rPr>
      </w:pPr>
      <w:r>
        <w:rPr>
          <w:szCs w:val="26"/>
        </w:rPr>
        <w:t>Under the Uniform Electronic Transactions Act (UETA), Minn. Stat. §§ 325L.01–.19 (2012), an electronic signature in an e-mail message does not necessarily evidence intent to electronically sign a document attached to the e-mail. Whether a sender has electronically signed an attached document depends on the circumstances, including whether the attached document itself contains the sender’s electronic signature and whether the attached document was intended to be a draft or final version.</w:t>
      </w:r>
    </w:p>
    <w:p w:rsidR="00C000BD" w:rsidRDefault="00C000BD"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996AA0" w:rsidRDefault="00996AA0" w:rsidP="00852C98">
      <w:pPr>
        <w:autoSpaceDE w:val="0"/>
        <w:autoSpaceDN w:val="0"/>
        <w:adjustRightInd w:val="0"/>
        <w:rPr>
          <w:i/>
          <w:szCs w:val="26"/>
        </w:rPr>
      </w:pPr>
    </w:p>
    <w:p w:rsidR="00AA1609" w:rsidRDefault="00AA1609" w:rsidP="00852C98">
      <w:pPr>
        <w:autoSpaceDE w:val="0"/>
        <w:autoSpaceDN w:val="0"/>
        <w:adjustRightInd w:val="0"/>
        <w:rPr>
          <w:i/>
          <w:szCs w:val="26"/>
        </w:rPr>
      </w:pPr>
    </w:p>
    <w:p w:rsidR="00C000BD" w:rsidRDefault="00C000BD" w:rsidP="00852C98">
      <w:pPr>
        <w:autoSpaceDE w:val="0"/>
        <w:autoSpaceDN w:val="0"/>
        <w:adjustRightInd w:val="0"/>
        <w:rPr>
          <w:b/>
          <w:szCs w:val="26"/>
          <w:u w:val="single"/>
        </w:rPr>
      </w:pPr>
      <w:r>
        <w:rPr>
          <w:b/>
          <w:szCs w:val="26"/>
          <w:u w:val="single"/>
        </w:rPr>
        <w:lastRenderedPageBreak/>
        <w:t>Environmental Law</w:t>
      </w:r>
    </w:p>
    <w:p w:rsidR="00C000BD" w:rsidRPr="0075480C" w:rsidRDefault="00C000BD" w:rsidP="00852C98">
      <w:pPr>
        <w:autoSpaceDE w:val="0"/>
        <w:autoSpaceDN w:val="0"/>
        <w:adjustRightInd w:val="0"/>
        <w:rPr>
          <w:b/>
          <w:szCs w:val="26"/>
          <w:u w:val="single"/>
        </w:rPr>
      </w:pPr>
    </w:p>
    <w:p w:rsidR="00C000BD" w:rsidRDefault="00C000BD" w:rsidP="00852C98">
      <w:pPr>
        <w:tabs>
          <w:tab w:val="left" w:pos="720"/>
          <w:tab w:val="left" w:pos="1440"/>
          <w:tab w:val="left" w:pos="2160"/>
        </w:tabs>
        <w:rPr>
          <w:b/>
        </w:rPr>
      </w:pPr>
      <w:r>
        <w:rPr>
          <w:b/>
          <w:i/>
        </w:rPr>
        <w:t xml:space="preserve">In re Envtl. Assessment Worksheet for the 33rd Sale of State Metallic Leases in Aitkin, Lake, and Saint Louis Counties, Minn., </w:t>
      </w:r>
      <w:r>
        <w:rPr>
          <w:b/>
        </w:rPr>
        <w:t xml:space="preserve">838 N.W.2d 212 (Minn. App. Sept. 9, 2013), </w:t>
      </w:r>
      <w:r>
        <w:rPr>
          <w:b/>
          <w:i/>
        </w:rPr>
        <w:t>review denied</w:t>
      </w:r>
      <w:r>
        <w:rPr>
          <w:b/>
        </w:rPr>
        <w:t xml:space="preserve"> (Minn. Nov. 26, 2013) (A12-2172).</w:t>
      </w:r>
    </w:p>
    <w:p w:rsidR="00C000BD" w:rsidRDefault="00C000BD" w:rsidP="00852C98">
      <w:pPr>
        <w:pStyle w:val="Heading1"/>
        <w:keepNext w:val="0"/>
        <w:ind w:firstLine="720"/>
        <w:rPr>
          <w:b w:val="0"/>
          <w:szCs w:val="26"/>
        </w:rPr>
      </w:pPr>
      <w:r>
        <w:rPr>
          <w:b w:val="0"/>
          <w:szCs w:val="26"/>
        </w:rPr>
        <w:t>The state’s sale of mineral leases does not by itself trigger environmental-review requirements under the Minnesota Environmental Protection Act and related rules because the leases do not contemplate definite, on-the-ground physical changes to the environment.  Environmental-review requirements may be triggered in the future by more specific exploration plans for property leas</w:t>
      </w:r>
      <w:r w:rsidR="00453C8D">
        <w:rPr>
          <w:b w:val="0"/>
          <w:szCs w:val="26"/>
        </w:rPr>
        <w:t>ed as a result of the sale.</w:t>
      </w:r>
    </w:p>
    <w:p w:rsidR="00453C8D" w:rsidRPr="00453C8D" w:rsidRDefault="00453C8D" w:rsidP="00852C98"/>
    <w:p w:rsidR="00114CE1" w:rsidRPr="00786E2D" w:rsidRDefault="00114CE1" w:rsidP="00852C98">
      <w:pPr>
        <w:outlineLvl w:val="0"/>
        <w:rPr>
          <w:b/>
          <w:szCs w:val="26"/>
        </w:rPr>
      </w:pPr>
      <w:r>
        <w:rPr>
          <w:b/>
          <w:i/>
          <w:szCs w:val="26"/>
        </w:rPr>
        <w:t xml:space="preserve">In </w:t>
      </w:r>
      <w:r w:rsidR="004826C7">
        <w:rPr>
          <w:b/>
          <w:i/>
          <w:szCs w:val="26"/>
        </w:rPr>
        <w:t>r</w:t>
      </w:r>
      <w:r>
        <w:rPr>
          <w:b/>
          <w:i/>
          <w:szCs w:val="26"/>
        </w:rPr>
        <w:t>e Reichmann Land and Cattle, LLP</w:t>
      </w:r>
      <w:r>
        <w:rPr>
          <w:b/>
          <w:szCs w:val="26"/>
        </w:rPr>
        <w:t xml:space="preserve">, 847 N.W.2d 42 (Minn. App. May 19, 2014), </w:t>
      </w:r>
      <w:r>
        <w:rPr>
          <w:b/>
          <w:i/>
          <w:szCs w:val="26"/>
        </w:rPr>
        <w:t xml:space="preserve">review granted </w:t>
      </w:r>
      <w:r>
        <w:rPr>
          <w:b/>
          <w:szCs w:val="26"/>
        </w:rPr>
        <w:t xml:space="preserve">(Minn. Aug. 5, 2014) (A13-1461). </w:t>
      </w:r>
    </w:p>
    <w:p w:rsidR="00114CE1" w:rsidRPr="00786E2D" w:rsidRDefault="00114CE1" w:rsidP="00852C98">
      <w:pPr>
        <w:suppressAutoHyphens w:val="0"/>
        <w:autoSpaceDE w:val="0"/>
        <w:autoSpaceDN w:val="0"/>
        <w:adjustRightInd w:val="0"/>
        <w:ind w:firstLine="720"/>
        <w:rPr>
          <w:color w:val="000000"/>
          <w:szCs w:val="26"/>
        </w:rPr>
      </w:pPr>
      <w:r>
        <w:rPr>
          <w:color w:val="000000"/>
          <w:szCs w:val="26"/>
        </w:rPr>
        <w:t>1.</w:t>
      </w:r>
      <w:r>
        <w:rPr>
          <w:color w:val="000000"/>
          <w:szCs w:val="26"/>
        </w:rPr>
        <w:tab/>
      </w:r>
      <w:r w:rsidRPr="00786E2D">
        <w:rPr>
          <w:color w:val="000000"/>
          <w:szCs w:val="26"/>
        </w:rPr>
        <w:t xml:space="preserve">When livestock are maintained on crop fields during the winter, the fields are only “pasture” under Minn. Stat. § 116.07, subd. 7d (2012), if the concentration of livestock is such that the livestock are allowed to forage throughout the winter. </w:t>
      </w:r>
    </w:p>
    <w:p w:rsidR="00114CE1" w:rsidRPr="00A1730A" w:rsidRDefault="00114CE1" w:rsidP="00852C98">
      <w:pPr>
        <w:ind w:firstLine="720"/>
        <w:outlineLvl w:val="0"/>
        <w:rPr>
          <w:b/>
          <w:szCs w:val="26"/>
        </w:rPr>
      </w:pPr>
      <w:r>
        <w:rPr>
          <w:color w:val="000000"/>
          <w:szCs w:val="26"/>
        </w:rPr>
        <w:t>2.</w:t>
      </w:r>
      <w:r>
        <w:rPr>
          <w:color w:val="000000"/>
          <w:szCs w:val="26"/>
        </w:rPr>
        <w:tab/>
      </w:r>
      <w:r w:rsidRPr="00786E2D">
        <w:rPr>
          <w:color w:val="000000"/>
          <w:szCs w:val="26"/>
        </w:rPr>
        <w:t>If an agricultural lot sustains crops for the duration of the normal growing season, a National Pollutant Discharge Elimination System permit is not required to confine livestock on the lot during the winter.</w:t>
      </w:r>
    </w:p>
    <w:p w:rsidR="00C000BD" w:rsidRDefault="00C000BD" w:rsidP="00852C98">
      <w:pPr>
        <w:autoSpaceDE w:val="0"/>
        <w:autoSpaceDN w:val="0"/>
        <w:adjustRightInd w:val="0"/>
        <w:rPr>
          <w:i/>
          <w:szCs w:val="26"/>
        </w:rPr>
      </w:pPr>
    </w:p>
    <w:p w:rsidR="00C000BD" w:rsidRDefault="00C000BD" w:rsidP="00852C98">
      <w:pPr>
        <w:autoSpaceDE w:val="0"/>
        <w:autoSpaceDN w:val="0"/>
        <w:adjustRightInd w:val="0"/>
        <w:rPr>
          <w:i/>
          <w:szCs w:val="26"/>
        </w:rPr>
      </w:pPr>
    </w:p>
    <w:p w:rsidR="00C000BD" w:rsidRDefault="00C000BD" w:rsidP="00852C98">
      <w:pPr>
        <w:tabs>
          <w:tab w:val="left" w:pos="720"/>
          <w:tab w:val="left" w:pos="1440"/>
          <w:tab w:val="left" w:pos="2160"/>
        </w:tabs>
        <w:rPr>
          <w:bCs/>
        </w:rPr>
      </w:pPr>
      <w:r>
        <w:rPr>
          <w:b/>
          <w:bCs/>
          <w:u w:val="single"/>
        </w:rPr>
        <w:t>Family Law</w:t>
      </w:r>
    </w:p>
    <w:p w:rsidR="00C000BD" w:rsidRDefault="00C000BD" w:rsidP="00852C98">
      <w:pPr>
        <w:tabs>
          <w:tab w:val="left" w:pos="720"/>
          <w:tab w:val="left" w:pos="1440"/>
          <w:tab w:val="left" w:pos="2160"/>
        </w:tabs>
        <w:rPr>
          <w:bCs/>
        </w:rPr>
      </w:pPr>
    </w:p>
    <w:p w:rsidR="00C000BD" w:rsidRDefault="004826C7" w:rsidP="00852C98">
      <w:pPr>
        <w:tabs>
          <w:tab w:val="left" w:pos="720"/>
          <w:tab w:val="left" w:pos="1440"/>
          <w:tab w:val="left" w:pos="2160"/>
        </w:tabs>
      </w:pPr>
      <w:r>
        <w:rPr>
          <w:b/>
          <w:i/>
        </w:rPr>
        <w:t xml:space="preserve">Anh Phuong </w:t>
      </w:r>
      <w:r w:rsidR="00C000BD">
        <w:rPr>
          <w:b/>
          <w:i/>
        </w:rPr>
        <w:t>Le v. Holter</w:t>
      </w:r>
      <w:r w:rsidR="00C000BD">
        <w:rPr>
          <w:b/>
        </w:rPr>
        <w:t xml:space="preserve">, 838 N.W.2d 797 (Minn. App. Nov. 4, 2013), </w:t>
      </w:r>
      <w:r w:rsidR="00C000BD">
        <w:rPr>
          <w:b/>
          <w:i/>
        </w:rPr>
        <w:t xml:space="preserve">review denied </w:t>
      </w:r>
      <w:r w:rsidR="00C000BD">
        <w:rPr>
          <w:b/>
        </w:rPr>
        <w:t>(Minn. Dec. 31, 2013) (A12-2011).</w:t>
      </w:r>
    </w:p>
    <w:p w:rsidR="00C000BD" w:rsidRDefault="00C000BD" w:rsidP="00852C98">
      <w:pPr>
        <w:tabs>
          <w:tab w:val="left" w:pos="720"/>
          <w:tab w:val="left" w:pos="1440"/>
          <w:tab w:val="left" w:pos="2160"/>
        </w:tabs>
      </w:pPr>
      <w:r>
        <w:rPr>
          <w:szCs w:val="26"/>
        </w:rPr>
        <w:tab/>
        <w:t>In a child-custody dispute, a district court is not required to hold an evidentiary hearing before ruling on the merits of a removal motion under Minnesota Statutes section 518.175, subdivision 3 (2012).</w:t>
      </w:r>
    </w:p>
    <w:p w:rsidR="00C000BD" w:rsidRDefault="00C000BD" w:rsidP="00852C98">
      <w:pPr>
        <w:outlineLvl w:val="3"/>
        <w:rPr>
          <w:b/>
          <w:bCs/>
          <w:i/>
          <w:szCs w:val="26"/>
        </w:rPr>
      </w:pPr>
    </w:p>
    <w:p w:rsidR="00673BEE" w:rsidRPr="00673BEE" w:rsidRDefault="00673BEE" w:rsidP="00852C98">
      <w:pPr>
        <w:outlineLvl w:val="3"/>
        <w:rPr>
          <w:b/>
          <w:bCs/>
          <w:szCs w:val="26"/>
        </w:rPr>
      </w:pPr>
      <w:r>
        <w:rPr>
          <w:b/>
          <w:bCs/>
          <w:i/>
          <w:szCs w:val="26"/>
        </w:rPr>
        <w:t>In re Guardianship of O’Brien</w:t>
      </w:r>
      <w:r>
        <w:rPr>
          <w:b/>
          <w:bCs/>
          <w:szCs w:val="26"/>
        </w:rPr>
        <w:t xml:space="preserve">, 847 N.W.2d 710 (Minn. App. May 27, 2014) (A13-1348).  </w:t>
      </w:r>
    </w:p>
    <w:p w:rsidR="00673BEE" w:rsidRPr="00673BEE" w:rsidRDefault="00673BEE" w:rsidP="00852C98">
      <w:pPr>
        <w:suppressAutoHyphens w:val="0"/>
        <w:autoSpaceDE w:val="0"/>
        <w:autoSpaceDN w:val="0"/>
        <w:adjustRightInd w:val="0"/>
        <w:ind w:firstLine="720"/>
        <w:rPr>
          <w:color w:val="000000"/>
          <w:szCs w:val="26"/>
        </w:rPr>
      </w:pPr>
      <w:r w:rsidRPr="00673BEE">
        <w:rPr>
          <w:color w:val="000000"/>
          <w:szCs w:val="26"/>
        </w:rPr>
        <w:t xml:space="preserve">1. </w:t>
      </w:r>
      <w:r>
        <w:rPr>
          <w:color w:val="000000"/>
          <w:szCs w:val="26"/>
        </w:rPr>
        <w:tab/>
      </w:r>
      <w:r w:rsidRPr="00673BEE">
        <w:rPr>
          <w:color w:val="000000"/>
          <w:szCs w:val="26"/>
        </w:rPr>
        <w:t xml:space="preserve">To be competent to marry under Minn. Stat. § 517.02, a ward must have sufficient mental capacity to understand the meaning, rights, and obligations of marriage. </w:t>
      </w:r>
    </w:p>
    <w:p w:rsidR="001F01A5" w:rsidRDefault="00673BEE" w:rsidP="00852C98">
      <w:pPr>
        <w:suppressAutoHyphens w:val="0"/>
        <w:autoSpaceDE w:val="0"/>
        <w:autoSpaceDN w:val="0"/>
        <w:adjustRightInd w:val="0"/>
        <w:ind w:firstLine="720"/>
        <w:rPr>
          <w:color w:val="000000"/>
          <w:szCs w:val="26"/>
        </w:rPr>
      </w:pPr>
      <w:r w:rsidRPr="00673BEE">
        <w:rPr>
          <w:color w:val="000000"/>
          <w:szCs w:val="26"/>
        </w:rPr>
        <w:t xml:space="preserve">2. </w:t>
      </w:r>
      <w:r>
        <w:rPr>
          <w:color w:val="000000"/>
          <w:szCs w:val="26"/>
        </w:rPr>
        <w:tab/>
      </w:r>
      <w:r w:rsidRPr="00673BEE">
        <w:rPr>
          <w:color w:val="000000"/>
          <w:szCs w:val="26"/>
        </w:rPr>
        <w:t xml:space="preserve">When determining a ward’s competence to marry, the burden of proof is on those challenging the ward’s competence. </w:t>
      </w:r>
    </w:p>
    <w:p w:rsidR="00673BEE" w:rsidRDefault="00673BEE" w:rsidP="00852C98">
      <w:pPr>
        <w:suppressAutoHyphens w:val="0"/>
        <w:autoSpaceDE w:val="0"/>
        <w:autoSpaceDN w:val="0"/>
        <w:adjustRightInd w:val="0"/>
        <w:ind w:firstLine="720"/>
        <w:rPr>
          <w:color w:val="000000"/>
          <w:szCs w:val="26"/>
        </w:rPr>
      </w:pPr>
      <w:r w:rsidRPr="00673BEE">
        <w:rPr>
          <w:color w:val="000000"/>
          <w:szCs w:val="26"/>
        </w:rPr>
        <w:t xml:space="preserve">3. </w:t>
      </w:r>
      <w:r>
        <w:rPr>
          <w:color w:val="000000"/>
          <w:szCs w:val="26"/>
        </w:rPr>
        <w:tab/>
      </w:r>
      <w:r w:rsidRPr="00673BEE">
        <w:rPr>
          <w:color w:val="000000"/>
          <w:szCs w:val="26"/>
        </w:rPr>
        <w:t xml:space="preserve">A district court determination that a ward is not competent to marry must be supported by specific findings addressing the ward’s ability to understand the meaning, rights, and obligations of marriage, and should be supported by expert testimony. </w:t>
      </w:r>
    </w:p>
    <w:p w:rsidR="004826C7" w:rsidRDefault="004826C7" w:rsidP="00996AA0">
      <w:pPr>
        <w:suppressAutoHyphens w:val="0"/>
        <w:autoSpaceDE w:val="0"/>
        <w:autoSpaceDN w:val="0"/>
        <w:adjustRightInd w:val="0"/>
        <w:rPr>
          <w:color w:val="000000"/>
          <w:szCs w:val="26"/>
        </w:rPr>
      </w:pPr>
    </w:p>
    <w:p w:rsidR="00996AA0" w:rsidRDefault="00996AA0" w:rsidP="00996AA0">
      <w:pPr>
        <w:suppressAutoHyphens w:val="0"/>
        <w:autoSpaceDE w:val="0"/>
        <w:autoSpaceDN w:val="0"/>
        <w:adjustRightInd w:val="0"/>
        <w:rPr>
          <w:color w:val="000000"/>
          <w:szCs w:val="26"/>
        </w:rPr>
      </w:pPr>
    </w:p>
    <w:p w:rsidR="00996AA0" w:rsidRPr="00673BEE" w:rsidRDefault="00996AA0" w:rsidP="00852C98">
      <w:pPr>
        <w:suppressAutoHyphens w:val="0"/>
        <w:autoSpaceDE w:val="0"/>
        <w:autoSpaceDN w:val="0"/>
        <w:adjustRightInd w:val="0"/>
        <w:ind w:firstLine="720"/>
        <w:rPr>
          <w:color w:val="000000"/>
          <w:szCs w:val="26"/>
        </w:rPr>
      </w:pPr>
    </w:p>
    <w:p w:rsidR="001721AF" w:rsidRPr="001721AF" w:rsidRDefault="001721AF" w:rsidP="00852C98">
      <w:pPr>
        <w:outlineLvl w:val="3"/>
        <w:rPr>
          <w:b/>
          <w:bCs/>
          <w:szCs w:val="26"/>
        </w:rPr>
      </w:pPr>
      <w:r>
        <w:rPr>
          <w:b/>
          <w:bCs/>
          <w:i/>
          <w:szCs w:val="26"/>
        </w:rPr>
        <w:t>Gossman v. Gossman</w:t>
      </w:r>
      <w:r>
        <w:rPr>
          <w:b/>
          <w:bCs/>
          <w:szCs w:val="26"/>
        </w:rPr>
        <w:t xml:space="preserve">, 847 N.W.2d 718 (Minn. App. June 2, 2014) (A13-1095).  </w:t>
      </w:r>
    </w:p>
    <w:p w:rsidR="001721AF" w:rsidRDefault="001721AF" w:rsidP="00852C98">
      <w:pPr>
        <w:suppressAutoHyphens w:val="0"/>
        <w:autoSpaceDE w:val="0"/>
        <w:autoSpaceDN w:val="0"/>
        <w:adjustRightInd w:val="0"/>
        <w:ind w:firstLine="720"/>
        <w:rPr>
          <w:color w:val="000000"/>
          <w:szCs w:val="26"/>
        </w:rPr>
      </w:pPr>
      <w:r w:rsidRPr="001721AF">
        <w:rPr>
          <w:color w:val="000000"/>
          <w:szCs w:val="26"/>
        </w:rPr>
        <w:t xml:space="preserve">If a dissolution judgment and decree includes a valid </w:t>
      </w:r>
      <w:r w:rsidRPr="001721AF">
        <w:rPr>
          <w:i/>
          <w:iCs/>
          <w:color w:val="000000"/>
          <w:szCs w:val="26"/>
        </w:rPr>
        <w:t xml:space="preserve">Karon </w:t>
      </w:r>
      <w:r w:rsidRPr="001721AF">
        <w:rPr>
          <w:color w:val="000000"/>
          <w:szCs w:val="26"/>
        </w:rPr>
        <w:t>waiver that divests the district court of jurisdiction to modify spousal maintenance, any subsequent order that purports to modify spousal maintenance is void and unenforceable.</w:t>
      </w:r>
    </w:p>
    <w:p w:rsidR="00F93666" w:rsidRDefault="00F93666" w:rsidP="00852C98">
      <w:pPr>
        <w:suppressAutoHyphens w:val="0"/>
        <w:autoSpaceDE w:val="0"/>
        <w:autoSpaceDN w:val="0"/>
        <w:adjustRightInd w:val="0"/>
        <w:rPr>
          <w:color w:val="000000"/>
          <w:szCs w:val="26"/>
        </w:rPr>
      </w:pPr>
    </w:p>
    <w:p w:rsidR="00F93666" w:rsidRPr="00F93666" w:rsidRDefault="00F93666" w:rsidP="00852C98">
      <w:pPr>
        <w:suppressAutoHyphens w:val="0"/>
        <w:autoSpaceDE w:val="0"/>
        <w:autoSpaceDN w:val="0"/>
        <w:adjustRightInd w:val="0"/>
        <w:rPr>
          <w:b/>
          <w:color w:val="000000"/>
          <w:szCs w:val="26"/>
        </w:rPr>
      </w:pPr>
      <w:r>
        <w:rPr>
          <w:b/>
          <w:i/>
          <w:color w:val="000000"/>
          <w:szCs w:val="26"/>
        </w:rPr>
        <w:t>Sanvik v. Sanvik</w:t>
      </w:r>
      <w:r>
        <w:rPr>
          <w:b/>
          <w:color w:val="000000"/>
          <w:szCs w:val="26"/>
        </w:rPr>
        <w:t xml:space="preserve">, 850 N.W.2d 732 (Minn. App. July 14, 2014) (A13-1875).  </w:t>
      </w:r>
    </w:p>
    <w:p w:rsidR="00F93666" w:rsidRPr="00F93666" w:rsidRDefault="00F93666" w:rsidP="00852C98">
      <w:pPr>
        <w:suppressAutoHyphens w:val="0"/>
        <w:autoSpaceDE w:val="0"/>
        <w:autoSpaceDN w:val="0"/>
        <w:adjustRightInd w:val="0"/>
        <w:ind w:firstLine="720"/>
        <w:rPr>
          <w:color w:val="000000"/>
          <w:szCs w:val="26"/>
        </w:rPr>
      </w:pPr>
      <w:r w:rsidRPr="00F93666">
        <w:rPr>
          <w:color w:val="000000"/>
          <w:szCs w:val="26"/>
        </w:rPr>
        <w:t xml:space="preserve">1. </w:t>
      </w:r>
      <w:r>
        <w:rPr>
          <w:color w:val="000000"/>
          <w:szCs w:val="26"/>
        </w:rPr>
        <w:tab/>
      </w:r>
      <w:r w:rsidRPr="00F93666">
        <w:rPr>
          <w:color w:val="000000"/>
          <w:szCs w:val="26"/>
        </w:rPr>
        <w:t xml:space="preserve">When a party’s motion for attorney fees under Minn. Stat. § 518.14, subd. 1 (2012), is pending upon dismissal of a divorce action, that party’s right to seek contribution for attorney fees from the opposing party continues and may be asserted by the party’s attorney. </w:t>
      </w:r>
    </w:p>
    <w:p w:rsidR="00F93666" w:rsidRPr="00F93666" w:rsidRDefault="00F93666" w:rsidP="00852C98">
      <w:pPr>
        <w:suppressAutoHyphens w:val="0"/>
        <w:autoSpaceDE w:val="0"/>
        <w:autoSpaceDN w:val="0"/>
        <w:adjustRightInd w:val="0"/>
        <w:ind w:firstLine="720"/>
        <w:rPr>
          <w:color w:val="000000"/>
          <w:szCs w:val="26"/>
        </w:rPr>
      </w:pPr>
      <w:r w:rsidRPr="00F93666">
        <w:rPr>
          <w:color w:val="000000"/>
          <w:szCs w:val="26"/>
        </w:rPr>
        <w:t>2.</w:t>
      </w:r>
      <w:r>
        <w:rPr>
          <w:color w:val="000000"/>
          <w:szCs w:val="26"/>
        </w:rPr>
        <w:tab/>
      </w:r>
      <w:r w:rsidRPr="00F93666">
        <w:rPr>
          <w:color w:val="000000"/>
          <w:szCs w:val="26"/>
        </w:rPr>
        <w:t xml:space="preserve">Minn. Stat. § 518.14, subd. 1, does not permit a court to award conduct-based attorney fees against an attorney for a party in a divorce proceeding. </w:t>
      </w:r>
    </w:p>
    <w:p w:rsidR="00F93666" w:rsidRDefault="00F93666" w:rsidP="00852C98">
      <w:pPr>
        <w:suppressAutoHyphens w:val="0"/>
        <w:autoSpaceDE w:val="0"/>
        <w:autoSpaceDN w:val="0"/>
        <w:adjustRightInd w:val="0"/>
        <w:rPr>
          <w:b/>
          <w:color w:val="000000"/>
          <w:sz w:val="24"/>
          <w:szCs w:val="24"/>
        </w:rPr>
      </w:pPr>
    </w:p>
    <w:p w:rsidR="0088498A" w:rsidRPr="009F4DF7" w:rsidRDefault="00C43022" w:rsidP="00852C98">
      <w:pPr>
        <w:suppressAutoHyphens w:val="0"/>
        <w:autoSpaceDE w:val="0"/>
        <w:autoSpaceDN w:val="0"/>
        <w:adjustRightInd w:val="0"/>
        <w:rPr>
          <w:b/>
          <w:color w:val="000000"/>
          <w:szCs w:val="26"/>
        </w:rPr>
      </w:pPr>
      <w:r w:rsidRPr="009F4DF7">
        <w:rPr>
          <w:b/>
          <w:i/>
          <w:color w:val="000000"/>
          <w:szCs w:val="26"/>
        </w:rPr>
        <w:t>Spanier v. Spanier</w:t>
      </w:r>
      <w:r w:rsidR="004B7C48" w:rsidRPr="009F4DF7">
        <w:rPr>
          <w:b/>
          <w:color w:val="000000"/>
          <w:szCs w:val="26"/>
        </w:rPr>
        <w:t>, 852 N.W.2d 284</w:t>
      </w:r>
      <w:r w:rsidRPr="009F4DF7">
        <w:rPr>
          <w:b/>
          <w:color w:val="000000"/>
          <w:szCs w:val="26"/>
        </w:rPr>
        <w:t xml:space="preserve"> (Minn. App. Aug. 18, 2014) (A13-2175).  </w:t>
      </w:r>
    </w:p>
    <w:p w:rsidR="0088498A" w:rsidRPr="001721AF" w:rsidRDefault="0088498A" w:rsidP="00852C98">
      <w:pPr>
        <w:suppressAutoHyphens w:val="0"/>
        <w:autoSpaceDE w:val="0"/>
        <w:autoSpaceDN w:val="0"/>
        <w:adjustRightInd w:val="0"/>
        <w:ind w:firstLine="720"/>
        <w:rPr>
          <w:b/>
          <w:color w:val="000000"/>
          <w:sz w:val="24"/>
          <w:szCs w:val="24"/>
        </w:rPr>
      </w:pPr>
      <w:r w:rsidRPr="0088498A">
        <w:rPr>
          <w:color w:val="000000"/>
          <w:szCs w:val="26"/>
        </w:rPr>
        <w:t>On a motion to modify custody under Minn. Stat. § 518.18(d) (2012), an order that does not modify physical or legal custody is not a “prior order” for purposes of determining whether a change of circumstances has occurred since the last custody order.</w:t>
      </w:r>
    </w:p>
    <w:p w:rsidR="00D2611D" w:rsidRDefault="00D2611D" w:rsidP="00852C98">
      <w:pPr>
        <w:outlineLvl w:val="3"/>
        <w:rPr>
          <w:b/>
          <w:bCs/>
          <w:i/>
          <w:szCs w:val="26"/>
        </w:rPr>
      </w:pPr>
    </w:p>
    <w:p w:rsidR="00FF0D88" w:rsidRDefault="00FF0D88" w:rsidP="00852C98">
      <w:pPr>
        <w:outlineLvl w:val="3"/>
        <w:rPr>
          <w:b/>
          <w:bCs/>
          <w:i/>
          <w:szCs w:val="26"/>
        </w:rPr>
      </w:pPr>
    </w:p>
    <w:p w:rsidR="00C000BD" w:rsidRDefault="00C000BD" w:rsidP="00852C98">
      <w:pPr>
        <w:tabs>
          <w:tab w:val="left" w:pos="720"/>
          <w:tab w:val="left" w:pos="1440"/>
          <w:tab w:val="left" w:pos="2160"/>
        </w:tabs>
        <w:rPr>
          <w:b/>
          <w:u w:val="single"/>
        </w:rPr>
      </w:pPr>
      <w:r>
        <w:rPr>
          <w:b/>
          <w:u w:val="single"/>
        </w:rPr>
        <w:t>Government &amp; Immunity</w:t>
      </w:r>
    </w:p>
    <w:p w:rsidR="00C000BD" w:rsidRDefault="00C000BD" w:rsidP="00852C98">
      <w:pPr>
        <w:tabs>
          <w:tab w:val="left" w:pos="720"/>
          <w:tab w:val="left" w:pos="1440"/>
          <w:tab w:val="left" w:pos="2160"/>
        </w:tabs>
        <w:rPr>
          <w:b/>
          <w:u w:val="single"/>
        </w:rPr>
      </w:pPr>
    </w:p>
    <w:p w:rsidR="00D873A6" w:rsidRDefault="00D873A6" w:rsidP="00852C98">
      <w:pPr>
        <w:tabs>
          <w:tab w:val="left" w:pos="720"/>
          <w:tab w:val="left" w:pos="1440"/>
          <w:tab w:val="left" w:pos="2160"/>
        </w:tabs>
      </w:pPr>
      <w:r>
        <w:rPr>
          <w:b/>
          <w:i/>
        </w:rPr>
        <w:t>Nichols v. State, Office of Sec’y of State</w:t>
      </w:r>
      <w:r w:rsidRPr="009434B2">
        <w:rPr>
          <w:b/>
        </w:rPr>
        <w:t>,</w:t>
      </w:r>
      <w:r>
        <w:rPr>
          <w:b/>
          <w:i/>
        </w:rPr>
        <w:t xml:space="preserve"> </w:t>
      </w:r>
      <w:r>
        <w:rPr>
          <w:b/>
        </w:rPr>
        <w:t xml:space="preserve">842 N.W.2d 20 (Minn. App. Jan. 21, 2014), </w:t>
      </w:r>
      <w:r w:rsidRPr="00FC13F9">
        <w:rPr>
          <w:b/>
          <w:i/>
        </w:rPr>
        <w:t xml:space="preserve">review granted </w:t>
      </w:r>
      <w:r w:rsidRPr="00FC13F9">
        <w:rPr>
          <w:b/>
        </w:rPr>
        <w:t xml:space="preserve">(Minn. </w:t>
      </w:r>
      <w:r>
        <w:rPr>
          <w:b/>
        </w:rPr>
        <w:t>Mar. 26, 2014</w:t>
      </w:r>
      <w:r w:rsidRPr="00FC13F9">
        <w:rPr>
          <w:b/>
        </w:rPr>
        <w:t>)</w:t>
      </w:r>
      <w:r>
        <w:rPr>
          <w:b/>
        </w:rPr>
        <w:t xml:space="preserve"> (A13-0529).</w:t>
      </w:r>
    </w:p>
    <w:p w:rsidR="00D873A6" w:rsidRDefault="00D873A6" w:rsidP="00852C98">
      <w:pPr>
        <w:pStyle w:val="Heading1"/>
        <w:keepNext w:val="0"/>
        <w:ind w:firstLine="720"/>
        <w:rPr>
          <w:b w:val="0"/>
          <w:szCs w:val="26"/>
        </w:rPr>
      </w:pPr>
      <w:r w:rsidRPr="002A2BA2">
        <w:rPr>
          <w:b w:val="0"/>
          <w:szCs w:val="26"/>
        </w:rPr>
        <w:t xml:space="preserve">The state </w:t>
      </w:r>
      <w:r>
        <w:rPr>
          <w:b w:val="0"/>
          <w:szCs w:val="26"/>
        </w:rPr>
        <w:t>is</w:t>
      </w:r>
      <w:r w:rsidRPr="002A2BA2">
        <w:rPr>
          <w:b w:val="0"/>
          <w:szCs w:val="26"/>
        </w:rPr>
        <w:t xml:space="preserve"> immune from </w:t>
      </w:r>
      <w:r>
        <w:rPr>
          <w:b w:val="0"/>
          <w:szCs w:val="26"/>
        </w:rPr>
        <w:t xml:space="preserve">suit on a claim of false inducement of employment </w:t>
      </w:r>
      <w:r w:rsidRPr="002A2BA2">
        <w:rPr>
          <w:b w:val="0"/>
          <w:szCs w:val="26"/>
        </w:rPr>
        <w:t>under sections 181.64 and 181.65 of the Minnesota Statutes</w:t>
      </w:r>
      <w:r>
        <w:rPr>
          <w:b w:val="0"/>
          <w:szCs w:val="26"/>
        </w:rPr>
        <w:t xml:space="preserve"> because those statutes do not </w:t>
      </w:r>
      <w:r w:rsidRPr="002A2BA2">
        <w:rPr>
          <w:b w:val="0"/>
          <w:szCs w:val="26"/>
        </w:rPr>
        <w:t xml:space="preserve">expressly mention the state </w:t>
      </w:r>
      <w:r>
        <w:rPr>
          <w:b w:val="0"/>
          <w:szCs w:val="26"/>
        </w:rPr>
        <w:t xml:space="preserve">and do not </w:t>
      </w:r>
      <w:r w:rsidRPr="002A2BA2">
        <w:rPr>
          <w:b w:val="0"/>
          <w:szCs w:val="26"/>
        </w:rPr>
        <w:t xml:space="preserve">use words that make it </w:t>
      </w:r>
      <w:r>
        <w:rPr>
          <w:b w:val="0"/>
          <w:szCs w:val="26"/>
        </w:rPr>
        <w:t xml:space="preserve">plain, clear, or </w:t>
      </w:r>
      <w:r w:rsidRPr="002A2BA2">
        <w:rPr>
          <w:b w:val="0"/>
          <w:szCs w:val="26"/>
        </w:rPr>
        <w:t>unmistakabl</w:t>
      </w:r>
      <w:r>
        <w:rPr>
          <w:b w:val="0"/>
          <w:szCs w:val="26"/>
        </w:rPr>
        <w:t>e</w:t>
      </w:r>
      <w:r w:rsidRPr="002A2BA2">
        <w:rPr>
          <w:b w:val="0"/>
          <w:szCs w:val="26"/>
        </w:rPr>
        <w:t xml:space="preserve"> that the legislature intended to waive the state</w:t>
      </w:r>
      <w:r>
        <w:rPr>
          <w:b w:val="0"/>
          <w:szCs w:val="26"/>
        </w:rPr>
        <w:t>’</w:t>
      </w:r>
      <w:r w:rsidRPr="002A2BA2">
        <w:rPr>
          <w:b w:val="0"/>
          <w:szCs w:val="26"/>
        </w:rPr>
        <w:t xml:space="preserve">s sovereign immunity with respect to </w:t>
      </w:r>
      <w:r>
        <w:rPr>
          <w:b w:val="0"/>
          <w:szCs w:val="26"/>
        </w:rPr>
        <w:t>the statutory clai</w:t>
      </w:r>
      <w:r w:rsidRPr="00F44387">
        <w:rPr>
          <w:b w:val="0"/>
          <w:szCs w:val="26"/>
        </w:rPr>
        <w:t xml:space="preserve">m </w:t>
      </w:r>
      <w:r>
        <w:rPr>
          <w:b w:val="0"/>
          <w:szCs w:val="26"/>
        </w:rPr>
        <w:t>authorized therein.</w:t>
      </w:r>
    </w:p>
    <w:p w:rsidR="00D873A6" w:rsidRPr="00D873A6" w:rsidRDefault="00D873A6" w:rsidP="00852C98"/>
    <w:p w:rsidR="00D873A6" w:rsidRDefault="00D873A6" w:rsidP="00852C98">
      <w:pPr>
        <w:tabs>
          <w:tab w:val="left" w:pos="720"/>
          <w:tab w:val="left" w:pos="1440"/>
          <w:tab w:val="left" w:pos="2160"/>
        </w:tabs>
      </w:pPr>
      <w:r>
        <w:rPr>
          <w:b/>
          <w:i/>
        </w:rPr>
        <w:t>Lakes Area Bus. Ass’n v. City of Forest Lake</w:t>
      </w:r>
      <w:r>
        <w:rPr>
          <w:b/>
        </w:rPr>
        <w:t xml:space="preserve">, 842 N.W.2d 320 (Minn. App. Jan. 27, </w:t>
      </w:r>
      <w:r w:rsidRPr="00FF2EB2">
        <w:rPr>
          <w:b/>
        </w:rPr>
        <w:t xml:space="preserve">2014), </w:t>
      </w:r>
      <w:r w:rsidRPr="00FF2EB2">
        <w:rPr>
          <w:b/>
          <w:i/>
        </w:rPr>
        <w:t xml:space="preserve">review denied </w:t>
      </w:r>
      <w:r w:rsidRPr="00FF2EB2">
        <w:rPr>
          <w:b/>
        </w:rPr>
        <w:t>(Minn. Apr. 15, 2014)</w:t>
      </w:r>
      <w:r>
        <w:rPr>
          <w:b/>
        </w:rPr>
        <w:t xml:space="preserve"> (A13-0698).</w:t>
      </w:r>
    </w:p>
    <w:p w:rsidR="00D873A6" w:rsidRDefault="00D873A6" w:rsidP="00852C98">
      <w:pPr>
        <w:pStyle w:val="Heading1"/>
        <w:keepNext w:val="0"/>
        <w:ind w:firstLine="720"/>
        <w:rPr>
          <w:b w:val="0"/>
          <w:szCs w:val="26"/>
        </w:rPr>
      </w:pPr>
      <w:r>
        <w:rPr>
          <w:b w:val="0"/>
          <w:szCs w:val="26"/>
        </w:rPr>
        <w:t>1.</w:t>
      </w:r>
      <w:r>
        <w:rPr>
          <w:b w:val="0"/>
          <w:szCs w:val="26"/>
        </w:rPr>
        <w:tab/>
        <w:t>The requirements of Minnesota Statutes section 475.521 do not apply to an economic development authority that issues revenue bonds that finance capital improvements.</w:t>
      </w:r>
    </w:p>
    <w:p w:rsidR="00D873A6" w:rsidRDefault="00D873A6" w:rsidP="00852C98">
      <w:pPr>
        <w:pStyle w:val="Heading1"/>
        <w:keepNext w:val="0"/>
        <w:ind w:firstLine="720"/>
        <w:rPr>
          <w:b w:val="0"/>
          <w:szCs w:val="26"/>
        </w:rPr>
      </w:pPr>
      <w:r>
        <w:rPr>
          <w:b w:val="0"/>
          <w:szCs w:val="26"/>
        </w:rPr>
        <w:t>2.</w:t>
      </w:r>
      <w:r>
        <w:rPr>
          <w:b w:val="0"/>
          <w:szCs w:val="26"/>
        </w:rPr>
        <w:tab/>
        <w:t>An economic development authority is not required to hold an election before issuing, under Minnesota Statutes section 469.103, revenue bonds that finance capital improvements.</w:t>
      </w:r>
    </w:p>
    <w:p w:rsidR="00D873A6" w:rsidRDefault="00D873A6" w:rsidP="00852C98"/>
    <w:p w:rsidR="00996AA0" w:rsidRPr="00D873A6" w:rsidRDefault="00996AA0" w:rsidP="00852C98"/>
    <w:p w:rsidR="00C000BD" w:rsidRDefault="00C000BD" w:rsidP="00852C98">
      <w:pPr>
        <w:rPr>
          <w:b/>
        </w:rPr>
      </w:pPr>
      <w:r>
        <w:rPr>
          <w:b/>
          <w:i/>
        </w:rPr>
        <w:lastRenderedPageBreak/>
        <w:t>Dean v. City of Winona</w:t>
      </w:r>
      <w:r>
        <w:rPr>
          <w:b/>
        </w:rPr>
        <w:t xml:space="preserve">, 843 N.W.2d 249 (Minn. App. Feb. 24, 2014), </w:t>
      </w:r>
      <w:r w:rsidRPr="005D2AF2">
        <w:rPr>
          <w:b/>
          <w:i/>
        </w:rPr>
        <w:t xml:space="preserve">review granted </w:t>
      </w:r>
      <w:r w:rsidRPr="005D2AF2">
        <w:rPr>
          <w:b/>
        </w:rPr>
        <w:t>(Minn. May 20, 2014)</w:t>
      </w:r>
      <w:r>
        <w:rPr>
          <w:b/>
        </w:rPr>
        <w:t xml:space="preserve"> (A13-1028).</w:t>
      </w:r>
    </w:p>
    <w:p w:rsidR="00C000BD" w:rsidRPr="000F5C49" w:rsidRDefault="00C000BD" w:rsidP="00852C98">
      <w:pPr>
        <w:pStyle w:val="ListParagraph"/>
        <w:numPr>
          <w:ilvl w:val="0"/>
          <w:numId w:val="39"/>
        </w:numPr>
        <w:spacing w:line="240" w:lineRule="auto"/>
        <w:ind w:left="0" w:firstLine="720"/>
        <w:jc w:val="both"/>
        <w:rPr>
          <w:szCs w:val="26"/>
        </w:rPr>
      </w:pPr>
      <w:r w:rsidRPr="000F5C49">
        <w:rPr>
          <w:szCs w:val="26"/>
        </w:rPr>
        <w:t xml:space="preserve">A municipality may use its police power to limit the number of lots on a block that are eligible to obtain certification as a rental property.  </w:t>
      </w:r>
    </w:p>
    <w:p w:rsidR="00C000BD" w:rsidRPr="00D873A6" w:rsidRDefault="00C000BD" w:rsidP="00852C98">
      <w:pPr>
        <w:pStyle w:val="ListParagraph"/>
        <w:numPr>
          <w:ilvl w:val="0"/>
          <w:numId w:val="39"/>
        </w:numPr>
        <w:spacing w:line="240" w:lineRule="auto"/>
        <w:ind w:left="0" w:firstLine="720"/>
        <w:jc w:val="both"/>
        <w:rPr>
          <w:szCs w:val="26"/>
        </w:rPr>
      </w:pPr>
      <w:r w:rsidRPr="000F5C49">
        <w:rPr>
          <w:szCs w:val="26"/>
        </w:rPr>
        <w:t xml:space="preserve">An ordinance that </w:t>
      </w:r>
      <w:r>
        <w:rPr>
          <w:szCs w:val="26"/>
        </w:rPr>
        <w:t xml:space="preserve">establishes a neutral, numerical limit on </w:t>
      </w:r>
      <w:r w:rsidRPr="000F5C49">
        <w:rPr>
          <w:szCs w:val="26"/>
        </w:rPr>
        <w:t xml:space="preserve">the number of lots on a block that are eligible to obtain certification as a rental property does not violate equal protection </w:t>
      </w:r>
      <w:r>
        <w:rPr>
          <w:szCs w:val="26"/>
        </w:rPr>
        <w:t>or due process under the Minnesota Constitution.</w:t>
      </w:r>
    </w:p>
    <w:p w:rsidR="00C000BD" w:rsidRDefault="00C000BD" w:rsidP="00852C98"/>
    <w:p w:rsidR="00C000BD" w:rsidRDefault="00C000BD" w:rsidP="00852C98">
      <w:pPr>
        <w:rPr>
          <w:rFonts w:hAnsi="Symbol"/>
          <w:b/>
        </w:rPr>
      </w:pPr>
      <w:r>
        <w:rPr>
          <w:rFonts w:hAnsi="Symbol"/>
          <w:b/>
          <w:i/>
        </w:rPr>
        <w:t>Rochester City Lines, Co. v. City of Rochester</w:t>
      </w:r>
      <w:r>
        <w:rPr>
          <w:rFonts w:hAnsi="Symbol"/>
          <w:b/>
        </w:rPr>
        <w:t xml:space="preserve">, </w:t>
      </w:r>
      <w:r w:rsidR="00A076D2">
        <w:rPr>
          <w:b/>
        </w:rPr>
        <w:t>846</w:t>
      </w:r>
      <w:r w:rsidRPr="000C06F3">
        <w:rPr>
          <w:b/>
        </w:rPr>
        <w:t xml:space="preserve"> N.W.2d </w:t>
      </w:r>
      <w:r w:rsidR="00A076D2">
        <w:rPr>
          <w:b/>
        </w:rPr>
        <w:t>444</w:t>
      </w:r>
      <w:r>
        <w:rPr>
          <w:rFonts w:hAnsi="Symbol"/>
          <w:b/>
        </w:rPr>
        <w:t xml:space="preserve"> (Minn. App. Apr. 7, 2014), </w:t>
      </w:r>
      <w:r w:rsidR="00A076D2">
        <w:rPr>
          <w:rFonts w:hAnsi="Symbol"/>
          <w:b/>
          <w:i/>
        </w:rPr>
        <w:t xml:space="preserve">review granted </w:t>
      </w:r>
      <w:r w:rsidR="00A076D2">
        <w:rPr>
          <w:rFonts w:hAnsi="Symbol"/>
          <w:b/>
        </w:rPr>
        <w:t>(</w:t>
      </w:r>
      <w:r w:rsidR="002B26AE">
        <w:rPr>
          <w:rFonts w:hAnsi="Symbol"/>
          <w:b/>
        </w:rPr>
        <w:t xml:space="preserve">Minn. </w:t>
      </w:r>
      <w:r w:rsidR="00A076D2">
        <w:rPr>
          <w:rFonts w:hAnsi="Symbol"/>
          <w:b/>
        </w:rPr>
        <w:t>June 17, 2014)</w:t>
      </w:r>
      <w:r>
        <w:rPr>
          <w:rFonts w:hAnsi="Symbol"/>
          <w:b/>
        </w:rPr>
        <w:t xml:space="preserve"> (A13-1477).</w:t>
      </w:r>
    </w:p>
    <w:p w:rsidR="00C000BD" w:rsidRPr="003755AB" w:rsidRDefault="00C000BD" w:rsidP="00852C98">
      <w:pPr>
        <w:pStyle w:val="Heading1"/>
        <w:keepNext w:val="0"/>
        <w:ind w:firstLine="720"/>
        <w:rPr>
          <w:b w:val="0"/>
          <w:szCs w:val="26"/>
        </w:rPr>
      </w:pPr>
      <w:r>
        <w:rPr>
          <w:b w:val="0"/>
          <w:szCs w:val="26"/>
        </w:rPr>
        <w:t>Because the award of a public contract based on a best-value determination offers greater discretion to the contracting entity than a lowest-responsive-bidder determination, the reviewing court must balance the requirements of competitive-bidding law with that discretion when reviewing a common-law bid-protest claim.</w:t>
      </w:r>
    </w:p>
    <w:p w:rsidR="00C000BD" w:rsidRDefault="00C000BD" w:rsidP="00852C98">
      <w:pPr>
        <w:tabs>
          <w:tab w:val="left" w:pos="720"/>
          <w:tab w:val="left" w:pos="1440"/>
          <w:tab w:val="left" w:pos="2160"/>
        </w:tabs>
        <w:rPr>
          <w:b/>
          <w:u w:val="single"/>
        </w:rPr>
      </w:pPr>
    </w:p>
    <w:p w:rsidR="00800D0D" w:rsidRPr="00800D0D" w:rsidRDefault="00114058" w:rsidP="00852C98">
      <w:pPr>
        <w:tabs>
          <w:tab w:val="left" w:pos="720"/>
          <w:tab w:val="left" w:pos="1440"/>
          <w:tab w:val="left" w:pos="2160"/>
        </w:tabs>
        <w:rPr>
          <w:b/>
        </w:rPr>
      </w:pPr>
      <w:r>
        <w:rPr>
          <w:b/>
          <w:i/>
        </w:rPr>
        <w:t>Minnesota Joint Underwriting Ass’n v. Star Tribune Media Co., LLC</w:t>
      </w:r>
      <w:r>
        <w:rPr>
          <w:b/>
        </w:rPr>
        <w:t xml:space="preserve">, 849 N.W.2d 421 (Minn. App. June 9, 2014), </w:t>
      </w:r>
      <w:r>
        <w:rPr>
          <w:b/>
          <w:i/>
        </w:rPr>
        <w:t xml:space="preserve">review granted </w:t>
      </w:r>
      <w:r>
        <w:rPr>
          <w:b/>
        </w:rPr>
        <w:t xml:space="preserve">(Minn. Aug. 19, 2014) (A13-2112).  </w:t>
      </w:r>
    </w:p>
    <w:p w:rsidR="00800D0D" w:rsidRDefault="00800D0D" w:rsidP="00852C98">
      <w:pPr>
        <w:tabs>
          <w:tab w:val="left" w:pos="720"/>
          <w:tab w:val="left" w:pos="1440"/>
          <w:tab w:val="left" w:pos="2160"/>
        </w:tabs>
        <w:ind w:firstLine="720"/>
        <w:rPr>
          <w:color w:val="000000"/>
          <w:szCs w:val="26"/>
        </w:rPr>
      </w:pPr>
      <w:r w:rsidRPr="00800D0D">
        <w:rPr>
          <w:color w:val="000000"/>
          <w:szCs w:val="26"/>
        </w:rPr>
        <w:t>The Minnesota Joint Underwriting Association is not a government entity subject to the Minnesota Government Data Practices Act.</w:t>
      </w:r>
    </w:p>
    <w:p w:rsidR="00800D0D" w:rsidRDefault="00800D0D" w:rsidP="00AA1609">
      <w:pPr>
        <w:tabs>
          <w:tab w:val="left" w:pos="720"/>
          <w:tab w:val="left" w:pos="1440"/>
          <w:tab w:val="left" w:pos="2160"/>
        </w:tabs>
        <w:rPr>
          <w:color w:val="000000"/>
          <w:szCs w:val="26"/>
        </w:rPr>
      </w:pPr>
    </w:p>
    <w:p w:rsidR="00800D0D" w:rsidRPr="00114058" w:rsidRDefault="00800D0D" w:rsidP="00AA1609">
      <w:pPr>
        <w:tabs>
          <w:tab w:val="left" w:pos="720"/>
          <w:tab w:val="left" w:pos="1440"/>
          <w:tab w:val="left" w:pos="2160"/>
        </w:tabs>
        <w:rPr>
          <w:b/>
        </w:rPr>
      </w:pPr>
    </w:p>
    <w:p w:rsidR="00C000BD" w:rsidRPr="00EF617E" w:rsidRDefault="00C000BD" w:rsidP="00852C98">
      <w:pPr>
        <w:rPr>
          <w:b/>
          <w:u w:val="single"/>
        </w:rPr>
      </w:pPr>
      <w:r>
        <w:rPr>
          <w:b/>
          <w:u w:val="single"/>
        </w:rPr>
        <w:t>Insurance Coverage</w:t>
      </w:r>
    </w:p>
    <w:p w:rsidR="00C000BD" w:rsidRDefault="00C000BD" w:rsidP="00852C98">
      <w:pPr>
        <w:outlineLvl w:val="3"/>
        <w:rPr>
          <w:b/>
          <w:bCs/>
          <w:i/>
          <w:szCs w:val="26"/>
        </w:rPr>
      </w:pPr>
    </w:p>
    <w:p w:rsidR="00C000BD" w:rsidRDefault="00C000BD" w:rsidP="00852C98">
      <w:pPr>
        <w:tabs>
          <w:tab w:val="left" w:pos="720"/>
          <w:tab w:val="left" w:pos="1440"/>
          <w:tab w:val="left" w:pos="2160"/>
        </w:tabs>
      </w:pPr>
      <w:r>
        <w:rPr>
          <w:b/>
          <w:i/>
        </w:rPr>
        <w:t>Econ. Premier Assurance Co. v. W. Nat’l Mut. Ins. Co.</w:t>
      </w:r>
      <w:r>
        <w:rPr>
          <w:b/>
        </w:rPr>
        <w:t>, 839 N.W.2d 749 (Minn. App. Nov. 25, 2013) (A13-0621).</w:t>
      </w:r>
    </w:p>
    <w:p w:rsidR="00C000BD" w:rsidRPr="006366FD" w:rsidRDefault="00C000BD" w:rsidP="00852C98">
      <w:pPr>
        <w:pStyle w:val="Heading1"/>
        <w:keepNext w:val="0"/>
        <w:ind w:firstLine="720"/>
        <w:rPr>
          <w:b w:val="0"/>
          <w:szCs w:val="26"/>
        </w:rPr>
      </w:pPr>
      <w:r>
        <w:rPr>
          <w:b w:val="0"/>
          <w:szCs w:val="26"/>
        </w:rPr>
        <w:t xml:space="preserve">The doctrine of </w:t>
      </w:r>
      <w:r w:rsidRPr="00AA77FC">
        <w:rPr>
          <w:b w:val="0"/>
          <w:i/>
          <w:szCs w:val="26"/>
        </w:rPr>
        <w:t>contra proferentem</w:t>
      </w:r>
      <w:r>
        <w:rPr>
          <w:b w:val="0"/>
          <w:szCs w:val="26"/>
        </w:rPr>
        <w:t xml:space="preserve">, which ordinarily guides courts to interpret ambiguous insurance-contract language against the insurer-drafter and in favor of finding coverage for the insured policy holder, does not influence the interpretation of allegedly ambiguous language in an insurance policy that is the subject of a coverage suit between the drafting insurer and another insurance company.  </w:t>
      </w:r>
    </w:p>
    <w:p w:rsidR="00C000BD" w:rsidRDefault="00C000BD" w:rsidP="00852C98">
      <w:pPr>
        <w:outlineLvl w:val="3"/>
        <w:rPr>
          <w:szCs w:val="26"/>
        </w:rPr>
      </w:pPr>
    </w:p>
    <w:p w:rsidR="000260D6" w:rsidRPr="000260D6" w:rsidRDefault="000260D6" w:rsidP="00852C98">
      <w:pPr>
        <w:outlineLvl w:val="3"/>
        <w:rPr>
          <w:b/>
          <w:bCs/>
          <w:szCs w:val="26"/>
        </w:rPr>
      </w:pPr>
      <w:r>
        <w:rPr>
          <w:b/>
          <w:bCs/>
          <w:i/>
          <w:szCs w:val="26"/>
        </w:rPr>
        <w:t>Schroeder v. W</w:t>
      </w:r>
      <w:r w:rsidR="002652F2">
        <w:rPr>
          <w:b/>
          <w:bCs/>
          <w:i/>
          <w:szCs w:val="26"/>
        </w:rPr>
        <w:t>. Nat’l</w:t>
      </w:r>
      <w:r>
        <w:rPr>
          <w:b/>
          <w:bCs/>
          <w:i/>
          <w:szCs w:val="26"/>
        </w:rPr>
        <w:t xml:space="preserve"> Mut. Ins. Co.</w:t>
      </w:r>
      <w:r>
        <w:rPr>
          <w:b/>
          <w:bCs/>
          <w:szCs w:val="26"/>
        </w:rPr>
        <w:t>, 850 N.W.2d 712 (Minn. App. July 7, 2014)</w:t>
      </w:r>
      <w:r w:rsidR="00C65A0A">
        <w:rPr>
          <w:b/>
          <w:bCs/>
          <w:szCs w:val="26"/>
        </w:rPr>
        <w:t xml:space="preserve">, </w:t>
      </w:r>
      <w:r w:rsidR="00C65A0A">
        <w:rPr>
          <w:b/>
          <w:bCs/>
          <w:i/>
          <w:szCs w:val="26"/>
        </w:rPr>
        <w:t>review granted</w:t>
      </w:r>
      <w:r w:rsidR="00C65A0A">
        <w:rPr>
          <w:b/>
          <w:bCs/>
          <w:szCs w:val="26"/>
        </w:rPr>
        <w:t xml:space="preserve"> (Minn. Sept. 16, 2014)</w:t>
      </w:r>
      <w:r>
        <w:rPr>
          <w:b/>
          <w:bCs/>
          <w:szCs w:val="26"/>
        </w:rPr>
        <w:t xml:space="preserve"> (A13-2289).  </w:t>
      </w:r>
    </w:p>
    <w:p w:rsidR="000260D6" w:rsidRDefault="000260D6" w:rsidP="00852C98">
      <w:pPr>
        <w:ind w:firstLine="630"/>
        <w:outlineLvl w:val="3"/>
        <w:rPr>
          <w:color w:val="000000"/>
          <w:szCs w:val="26"/>
        </w:rPr>
      </w:pPr>
      <w:r w:rsidRPr="000260D6">
        <w:rPr>
          <w:color w:val="000000"/>
          <w:szCs w:val="26"/>
        </w:rPr>
        <w:t>Under the Minnesota No-Fault Act, Minn. Stat. §§ 65B.41-.71 (2012), an injured insured who has primary responsibility for the management of a household is entitled to the reasonable value of the insured’s household care and maintenance services, regardless of whether the services were replaced when the insured could not perform them.</w:t>
      </w:r>
    </w:p>
    <w:p w:rsidR="000260D6" w:rsidRDefault="000260D6" w:rsidP="00852C98">
      <w:pPr>
        <w:outlineLvl w:val="3"/>
        <w:rPr>
          <w:color w:val="000000"/>
          <w:szCs w:val="26"/>
        </w:rPr>
      </w:pPr>
    </w:p>
    <w:p w:rsidR="000260D6" w:rsidRDefault="000260D6" w:rsidP="00852C98">
      <w:pPr>
        <w:outlineLvl w:val="3"/>
        <w:rPr>
          <w:b/>
          <w:bCs/>
          <w:szCs w:val="26"/>
        </w:rPr>
      </w:pPr>
    </w:p>
    <w:p w:rsidR="00AA1609" w:rsidRDefault="00AA1609" w:rsidP="00852C98">
      <w:pPr>
        <w:outlineLvl w:val="3"/>
        <w:rPr>
          <w:b/>
          <w:bCs/>
          <w:szCs w:val="26"/>
        </w:rPr>
      </w:pPr>
    </w:p>
    <w:p w:rsidR="00AA1609" w:rsidRPr="000260D6" w:rsidRDefault="00AA1609" w:rsidP="00852C98">
      <w:pPr>
        <w:outlineLvl w:val="3"/>
        <w:rPr>
          <w:b/>
          <w:bCs/>
          <w:szCs w:val="26"/>
        </w:rPr>
      </w:pPr>
    </w:p>
    <w:p w:rsidR="00C000BD" w:rsidRPr="00213267" w:rsidRDefault="00C000BD" w:rsidP="00852C98">
      <w:pPr>
        <w:tabs>
          <w:tab w:val="left" w:pos="720"/>
          <w:tab w:val="left" w:pos="1440"/>
        </w:tabs>
        <w:rPr>
          <w:b/>
          <w:u w:val="single"/>
        </w:rPr>
      </w:pPr>
      <w:r>
        <w:rPr>
          <w:b/>
          <w:u w:val="single"/>
        </w:rPr>
        <w:lastRenderedPageBreak/>
        <w:t>Jurisdiction &amp; Procedure</w:t>
      </w:r>
    </w:p>
    <w:p w:rsidR="00C000BD" w:rsidRDefault="00C000BD" w:rsidP="00852C98"/>
    <w:p w:rsidR="004E421E" w:rsidRDefault="004E421E" w:rsidP="00852C98">
      <w:pPr>
        <w:tabs>
          <w:tab w:val="left" w:pos="720"/>
          <w:tab w:val="left" w:pos="1440"/>
          <w:tab w:val="left" w:pos="2160"/>
        </w:tabs>
      </w:pPr>
      <w:r>
        <w:rPr>
          <w:b/>
          <w:i/>
        </w:rPr>
        <w:t>Stern v. Stern</w:t>
      </w:r>
      <w:r>
        <w:rPr>
          <w:b/>
        </w:rPr>
        <w:t>, 839 N.W.2d 96 (Minn. App. Oct. 15, 2013) (A13-0447).</w:t>
      </w:r>
    </w:p>
    <w:p w:rsidR="004E421E" w:rsidRDefault="004E421E" w:rsidP="00852C98">
      <w:pPr>
        <w:tabs>
          <w:tab w:val="left" w:pos="720"/>
          <w:tab w:val="left" w:pos="1440"/>
          <w:tab w:val="left" w:pos="2160"/>
        </w:tabs>
        <w:rPr>
          <w:szCs w:val="26"/>
        </w:rPr>
      </w:pPr>
      <w:r>
        <w:rPr>
          <w:szCs w:val="26"/>
        </w:rPr>
        <w:tab/>
        <w:t xml:space="preserve">Because the juvenile court exercises </w:t>
      </w:r>
      <w:r w:rsidRPr="00ED0262">
        <w:rPr>
          <w:szCs w:val="26"/>
        </w:rPr>
        <w:t>original and exclusive jurisdiction</w:t>
      </w:r>
      <w:r>
        <w:rPr>
          <w:szCs w:val="26"/>
        </w:rPr>
        <w:t xml:space="preserve"> over the protection and custody of children in proceedings brought under the juvenile protection provisions of the Minnesota Juvenile Court Act, Minn. Stat. §§ 260C.001–.637 (2012), the family court division of district court lacks concurrent jurisdiction over a petition for de facto custody brought pursuant to </w:t>
      </w:r>
      <w:r w:rsidRPr="00FB5292">
        <w:rPr>
          <w:szCs w:val="26"/>
        </w:rPr>
        <w:t>Minn. Stat. § 257C.03 (2012)</w:t>
      </w:r>
      <w:r>
        <w:rPr>
          <w:szCs w:val="26"/>
        </w:rPr>
        <w:t>.</w:t>
      </w:r>
    </w:p>
    <w:p w:rsidR="004E421E" w:rsidRDefault="004E421E" w:rsidP="00852C98">
      <w:pPr>
        <w:tabs>
          <w:tab w:val="left" w:pos="720"/>
          <w:tab w:val="left" w:pos="1440"/>
          <w:tab w:val="left" w:pos="2160"/>
        </w:tabs>
        <w:rPr>
          <w:szCs w:val="26"/>
        </w:rPr>
      </w:pPr>
    </w:p>
    <w:p w:rsidR="004E421E" w:rsidRPr="00882E91" w:rsidRDefault="004E421E" w:rsidP="00852C98">
      <w:pPr>
        <w:tabs>
          <w:tab w:val="left" w:pos="720"/>
          <w:tab w:val="left" w:pos="1440"/>
          <w:tab w:val="left" w:pos="2160"/>
        </w:tabs>
        <w:rPr>
          <w:b/>
          <w:i/>
        </w:rPr>
      </w:pPr>
      <w:r>
        <w:rPr>
          <w:b/>
          <w:i/>
        </w:rPr>
        <w:t>Lifespan of Minn., Inc. v. Minneapolis Pub. Sch. Indep. Sch. Dist. #1</w:t>
      </w:r>
      <w:r w:rsidRPr="009434B2">
        <w:rPr>
          <w:b/>
        </w:rPr>
        <w:t>,</w:t>
      </w:r>
      <w:r>
        <w:rPr>
          <w:b/>
          <w:i/>
        </w:rPr>
        <w:t xml:space="preserve"> </w:t>
      </w:r>
      <w:r>
        <w:rPr>
          <w:b/>
        </w:rPr>
        <w:t>841 N.W.2d 656 (Minn. App. Jan. 13, 2014) (A13-1165, A13-1166, A13-1167, A13-1168).</w:t>
      </w:r>
    </w:p>
    <w:p w:rsidR="004E421E" w:rsidRDefault="004E421E" w:rsidP="00852C98">
      <w:pPr>
        <w:pStyle w:val="Heading1"/>
        <w:keepNext w:val="0"/>
        <w:ind w:firstLine="720"/>
        <w:rPr>
          <w:b w:val="0"/>
          <w:szCs w:val="26"/>
        </w:rPr>
      </w:pPr>
      <w:r>
        <w:rPr>
          <w:b w:val="0"/>
          <w:szCs w:val="26"/>
        </w:rPr>
        <w:t>A district court has subject-matter jurisdiction over a corporation’s breach-of-contract claims against school districts when the corporation’s claims do not require the district court to evaluate the quality of or reasons for the school districts’ discretionary executive decisions.</w:t>
      </w:r>
    </w:p>
    <w:p w:rsidR="004E421E" w:rsidRPr="004E421E" w:rsidRDefault="004E421E" w:rsidP="00852C98"/>
    <w:p w:rsidR="004E421E" w:rsidRDefault="004E421E" w:rsidP="00852C98">
      <w:pPr>
        <w:rPr>
          <w:b/>
        </w:rPr>
      </w:pPr>
      <w:r>
        <w:rPr>
          <w:b/>
          <w:i/>
        </w:rPr>
        <w:t>Volkman v. Hanover Invs.</w:t>
      </w:r>
      <w:r w:rsidRPr="009434B2">
        <w:rPr>
          <w:b/>
        </w:rPr>
        <w:t>,</w:t>
      </w:r>
      <w:r>
        <w:rPr>
          <w:b/>
          <w:i/>
        </w:rPr>
        <w:t xml:space="preserve"> Inc.</w:t>
      </w:r>
      <w:r>
        <w:rPr>
          <w:b/>
        </w:rPr>
        <w:t>, 843 N.W.2d 789 (Minn. App. Mar. 3, 2014) (A13-1111).</w:t>
      </w:r>
    </w:p>
    <w:p w:rsidR="004E421E" w:rsidRDefault="004E421E" w:rsidP="00852C98">
      <w:pPr>
        <w:ind w:firstLine="720"/>
        <w:contextualSpacing/>
      </w:pPr>
      <w:r w:rsidRPr="00180D14">
        <w:t xml:space="preserve">The contacts of a foreign corporation with Minnesota </w:t>
      </w:r>
      <w:r>
        <w:t>are</w:t>
      </w:r>
      <w:r w:rsidRPr="00180D14">
        <w:t xml:space="preserve"> sufficient to subject the corporation to </w:t>
      </w:r>
      <w:r>
        <w:t xml:space="preserve">specific </w:t>
      </w:r>
      <w:r w:rsidRPr="00180D14">
        <w:t>personal jurisdiction in the courts of Minnesota when the corporation enter</w:t>
      </w:r>
      <w:r>
        <w:t>s</w:t>
      </w:r>
      <w:r w:rsidRPr="00180D14">
        <w:t xml:space="preserve"> into a shareholder agreement with</w:t>
      </w:r>
      <w:r>
        <w:t xml:space="preserve"> a Minnesota resident that conditions the Minnesota resident’s shareholder status </w:t>
      </w:r>
      <w:r>
        <w:rPr>
          <w:szCs w:val="26"/>
        </w:rPr>
        <w:t>on her continued employment in Minnesota</w:t>
      </w:r>
      <w:r>
        <w:t>.</w:t>
      </w:r>
    </w:p>
    <w:p w:rsidR="004E421E" w:rsidRDefault="004E421E" w:rsidP="00852C98">
      <w:pPr>
        <w:ind w:firstLine="720"/>
        <w:contextualSpacing/>
      </w:pPr>
    </w:p>
    <w:p w:rsidR="00C000BD" w:rsidRPr="008C0E59" w:rsidRDefault="00C000BD" w:rsidP="00852C98">
      <w:pPr>
        <w:outlineLvl w:val="0"/>
        <w:rPr>
          <w:rFonts w:hAnsi="Symbol"/>
          <w:b/>
        </w:rPr>
      </w:pPr>
      <w:r>
        <w:rPr>
          <w:rFonts w:hAnsi="Symbol"/>
          <w:b/>
          <w:i/>
        </w:rPr>
        <w:t>Butler v. JLA Indus. Equip., Inc.</w:t>
      </w:r>
      <w:r>
        <w:rPr>
          <w:rFonts w:hAnsi="Symbol"/>
          <w:b/>
        </w:rPr>
        <w:t xml:space="preserve">, </w:t>
      </w:r>
      <w:r w:rsidR="007C2AD0">
        <w:rPr>
          <w:b/>
        </w:rPr>
        <w:t>845 N.W.2d 834</w:t>
      </w:r>
      <w:r>
        <w:rPr>
          <w:rFonts w:hAnsi="Symbol"/>
          <w:b/>
        </w:rPr>
        <w:t xml:space="preserve"> (Minn. App. Apr. 21, 2014)</w:t>
      </w:r>
      <w:r w:rsidR="007C2AD0">
        <w:rPr>
          <w:rFonts w:hAnsi="Symbol"/>
          <w:b/>
        </w:rPr>
        <w:t xml:space="preserve">, </w:t>
      </w:r>
      <w:r w:rsidR="007C2AD0">
        <w:rPr>
          <w:rFonts w:hAnsi="Symbol"/>
          <w:b/>
          <w:i/>
        </w:rPr>
        <w:t xml:space="preserve">review denied </w:t>
      </w:r>
      <w:r w:rsidR="007C2AD0">
        <w:rPr>
          <w:rFonts w:hAnsi="Symbol"/>
          <w:b/>
        </w:rPr>
        <w:t>(</w:t>
      </w:r>
      <w:r w:rsidR="00CF4BBB">
        <w:rPr>
          <w:rFonts w:hAnsi="Symbol"/>
          <w:b/>
        </w:rPr>
        <w:t xml:space="preserve">Minn. </w:t>
      </w:r>
      <w:r w:rsidR="007C2AD0">
        <w:rPr>
          <w:rFonts w:hAnsi="Symbol"/>
          <w:b/>
        </w:rPr>
        <w:t>July 15, 2014)</w:t>
      </w:r>
      <w:r>
        <w:rPr>
          <w:rFonts w:hAnsi="Symbol"/>
          <w:b/>
        </w:rPr>
        <w:t xml:space="preserve"> (A13-1448).</w:t>
      </w:r>
    </w:p>
    <w:p w:rsidR="00C000BD" w:rsidRPr="004E421E" w:rsidRDefault="00C000BD" w:rsidP="00852C98">
      <w:pPr>
        <w:ind w:firstLine="720"/>
        <w:outlineLvl w:val="0"/>
      </w:pPr>
      <w:r>
        <w:rPr>
          <w:szCs w:val="26"/>
        </w:rPr>
        <w:t>When analyzing minimum contacts under the stream-of-commerce theory of personal jurisdiction, a nonresident defendant without direct contacts with Minnesota purposefully avails itself of the benefits and protections of Minnesota if it engages in a regular course of voluminous sales through a nonresident distributor to Minnesota customers</w:t>
      </w:r>
      <w:r>
        <w:t>.</w:t>
      </w:r>
    </w:p>
    <w:p w:rsidR="00C000BD" w:rsidRDefault="00C000BD" w:rsidP="00AA1609">
      <w:pPr>
        <w:outlineLvl w:val="0"/>
        <w:rPr>
          <w:szCs w:val="26"/>
        </w:rPr>
      </w:pPr>
    </w:p>
    <w:p w:rsidR="00FF0D88" w:rsidRPr="005E7D92" w:rsidRDefault="00FF0D88" w:rsidP="00AA1609">
      <w:pPr>
        <w:outlineLvl w:val="0"/>
        <w:rPr>
          <w:szCs w:val="26"/>
        </w:rPr>
      </w:pPr>
    </w:p>
    <w:p w:rsidR="00C000BD" w:rsidRPr="00BD6A67" w:rsidRDefault="00C000BD" w:rsidP="00852C98">
      <w:pPr>
        <w:pStyle w:val="BodyText"/>
        <w:spacing w:line="240" w:lineRule="auto"/>
        <w:rPr>
          <w:b/>
          <w:u w:val="single"/>
        </w:rPr>
      </w:pPr>
      <w:r>
        <w:rPr>
          <w:b/>
          <w:u w:val="single"/>
        </w:rPr>
        <w:t>Labor &amp; Employment</w:t>
      </w:r>
    </w:p>
    <w:p w:rsidR="00C000BD" w:rsidRDefault="00C000BD" w:rsidP="00852C98">
      <w:pPr>
        <w:pStyle w:val="BodyText"/>
        <w:spacing w:line="240" w:lineRule="auto"/>
      </w:pPr>
    </w:p>
    <w:p w:rsidR="00C000BD" w:rsidRDefault="00C000BD" w:rsidP="00852C98">
      <w:pPr>
        <w:rPr>
          <w:b/>
        </w:rPr>
      </w:pPr>
      <w:r>
        <w:rPr>
          <w:b/>
          <w:i/>
        </w:rPr>
        <w:t>Engfer v. Gen. Dynamics Advanced Info. Sys., Inc.</w:t>
      </w:r>
      <w:r>
        <w:rPr>
          <w:b/>
        </w:rPr>
        <w:t xml:space="preserve">, 844 N.W.2d 236 (Minn. App. Mar. 17, 2014), </w:t>
      </w:r>
      <w:r w:rsidR="00CF4BBB">
        <w:rPr>
          <w:b/>
          <w:i/>
        </w:rPr>
        <w:t>review granted</w:t>
      </w:r>
      <w:r>
        <w:rPr>
          <w:b/>
          <w:i/>
        </w:rPr>
        <w:t xml:space="preserve"> </w:t>
      </w:r>
      <w:r>
        <w:rPr>
          <w:b/>
        </w:rPr>
        <w:t xml:space="preserve">(Minn. </w:t>
      </w:r>
      <w:r w:rsidR="00CF4BBB">
        <w:rPr>
          <w:b/>
        </w:rPr>
        <w:t>May 28, 2014</w:t>
      </w:r>
      <w:r>
        <w:rPr>
          <w:b/>
        </w:rPr>
        <w:t>) (A13-0872).</w:t>
      </w:r>
    </w:p>
    <w:p w:rsidR="00C000BD" w:rsidRPr="00CC6CA0" w:rsidRDefault="00C000BD" w:rsidP="00852C98">
      <w:pPr>
        <w:ind w:firstLine="720"/>
        <w:rPr>
          <w:b/>
        </w:rPr>
      </w:pPr>
      <w:r w:rsidRPr="00881998">
        <w:t xml:space="preserve">The preemption provision of the Employee Retirement Income Security Act of </w:t>
      </w:r>
      <w:r>
        <w:t>1974 (ERISA), 29 U.S.</w:t>
      </w:r>
      <w:r w:rsidRPr="00881998">
        <w:t>C. § 1144(a) (2012)</w:t>
      </w:r>
      <w:r>
        <w:t>,</w:t>
      </w:r>
      <w:r w:rsidRPr="00881998">
        <w:t xml:space="preserve"> applies to preempt</w:t>
      </w:r>
      <w:r>
        <w:t xml:space="preserve"> the provision in</w:t>
      </w:r>
      <w:r w:rsidRPr="00881998">
        <w:t xml:space="preserve"> </w:t>
      </w:r>
      <w:r>
        <w:t>the Minnesota Unemployment Insurance Act, Minn. Stat. § </w:t>
      </w:r>
      <w:r w:rsidRPr="00881998">
        <w:t xml:space="preserve">268.035, </w:t>
      </w:r>
      <w:r>
        <w:t>subd.</w:t>
      </w:r>
      <w:r w:rsidRPr="00881998">
        <w:t xml:space="preserve"> 29(a)</w:t>
      </w:r>
      <w:r>
        <w:t>(</w:t>
      </w:r>
      <w:r w:rsidRPr="00881998">
        <w:t>12</w:t>
      </w:r>
      <w:r>
        <w:t>)</w:t>
      </w:r>
      <w:r w:rsidRPr="00881998">
        <w:t xml:space="preserve"> (2012)</w:t>
      </w:r>
      <w:r>
        <w:t>,</w:t>
      </w:r>
      <w:r w:rsidRPr="00881998">
        <w:t xml:space="preserve"> that </w:t>
      </w:r>
      <w:r>
        <w:t xml:space="preserve">“[t]he plan must provide supplemental payments only for those weeks the applicant has been paid regular, extended, or additional unemployment benefits” in order for the </w:t>
      </w:r>
      <w:r>
        <w:lastRenderedPageBreak/>
        <w:t>supplemental benefits to be exempt from the definition of “wages” contained in Minn. Stat. § 268.035, subd. 29(a) (2012).</w:t>
      </w:r>
    </w:p>
    <w:p w:rsidR="00C000BD" w:rsidRDefault="00C000BD" w:rsidP="00852C98">
      <w:pPr>
        <w:rPr>
          <w:b/>
          <w:i/>
          <w:szCs w:val="26"/>
        </w:rPr>
      </w:pPr>
    </w:p>
    <w:p w:rsidR="00C000BD" w:rsidRDefault="00C000BD" w:rsidP="00852C98">
      <w:pPr>
        <w:outlineLvl w:val="0"/>
        <w:rPr>
          <w:rFonts w:hAnsi="Symbol"/>
          <w:b/>
        </w:rPr>
      </w:pPr>
      <w:r>
        <w:rPr>
          <w:rFonts w:hAnsi="Symbol"/>
          <w:b/>
          <w:i/>
        </w:rPr>
        <w:t>Ford v. Minneapolis Pub. Sch.</w:t>
      </w:r>
      <w:r>
        <w:rPr>
          <w:rFonts w:hAnsi="Symbol"/>
          <w:b/>
        </w:rPr>
        <w:t xml:space="preserve">, </w:t>
      </w:r>
      <w:r w:rsidR="00BE2750">
        <w:rPr>
          <w:b/>
        </w:rPr>
        <w:t>845</w:t>
      </w:r>
      <w:r w:rsidRPr="000C06F3">
        <w:rPr>
          <w:b/>
        </w:rPr>
        <w:t xml:space="preserve"> N.W.2d </w:t>
      </w:r>
      <w:r w:rsidR="00BE2750">
        <w:rPr>
          <w:b/>
        </w:rPr>
        <w:t>566</w:t>
      </w:r>
      <w:r>
        <w:rPr>
          <w:rFonts w:hAnsi="Symbol"/>
          <w:b/>
        </w:rPr>
        <w:t xml:space="preserve"> (Minn. App. Apr. 21, 2014)</w:t>
      </w:r>
      <w:r w:rsidR="00BE2750">
        <w:rPr>
          <w:rFonts w:hAnsi="Symbol"/>
          <w:b/>
        </w:rPr>
        <w:t xml:space="preserve">, </w:t>
      </w:r>
      <w:r w:rsidR="00BE2750">
        <w:rPr>
          <w:rFonts w:hAnsi="Symbol"/>
          <w:b/>
          <w:i/>
        </w:rPr>
        <w:t>review granted, judgment vacated</w:t>
      </w:r>
      <w:r w:rsidR="00BE2750">
        <w:rPr>
          <w:rFonts w:hAnsi="Symbol"/>
          <w:b/>
        </w:rPr>
        <w:t xml:space="preserve"> (</w:t>
      </w:r>
      <w:r w:rsidR="00CF4BBB">
        <w:rPr>
          <w:rFonts w:hAnsi="Symbol"/>
          <w:b/>
        </w:rPr>
        <w:t xml:space="preserve">Minn. </w:t>
      </w:r>
      <w:r w:rsidR="00BE2750">
        <w:rPr>
          <w:rFonts w:hAnsi="Symbol"/>
          <w:b/>
        </w:rPr>
        <w:t>July 15, 2014)</w:t>
      </w:r>
      <w:r>
        <w:rPr>
          <w:rFonts w:hAnsi="Symbol"/>
          <w:b/>
        </w:rPr>
        <w:t xml:space="preserve"> (A13-1072).</w:t>
      </w:r>
    </w:p>
    <w:p w:rsidR="00C000BD" w:rsidRDefault="00C000BD" w:rsidP="00852C98">
      <w:pPr>
        <w:pStyle w:val="Heading1"/>
        <w:keepNext w:val="0"/>
        <w:rPr>
          <w:b w:val="0"/>
          <w:szCs w:val="26"/>
        </w:rPr>
      </w:pPr>
      <w:r>
        <w:rPr>
          <w:b w:val="0"/>
          <w:szCs w:val="26"/>
        </w:rPr>
        <w:tab/>
        <w:t>When the alleged discriminatory act in a claim under the whistleblower statute is the decision to eliminate an employee’s position, the statute of limitations begins to run when the employer notifies the employee that the position will be eliminated.</w:t>
      </w:r>
    </w:p>
    <w:p w:rsidR="00C000BD" w:rsidRDefault="00C000BD" w:rsidP="00852C98">
      <w:pPr>
        <w:rPr>
          <w:b/>
          <w:i/>
          <w:szCs w:val="26"/>
        </w:rPr>
      </w:pPr>
    </w:p>
    <w:p w:rsidR="00710B33" w:rsidRPr="00710B33" w:rsidRDefault="00710B33" w:rsidP="00852C98">
      <w:pPr>
        <w:rPr>
          <w:b/>
          <w:szCs w:val="26"/>
        </w:rPr>
      </w:pPr>
      <w:r>
        <w:rPr>
          <w:b/>
          <w:i/>
          <w:szCs w:val="26"/>
        </w:rPr>
        <w:t>Exner v. Minneapolis Pub</w:t>
      </w:r>
      <w:r w:rsidR="002652F2">
        <w:rPr>
          <w:b/>
          <w:i/>
          <w:szCs w:val="26"/>
        </w:rPr>
        <w:t>.</w:t>
      </w:r>
      <w:r>
        <w:rPr>
          <w:b/>
          <w:i/>
          <w:szCs w:val="26"/>
        </w:rPr>
        <w:t xml:space="preserve"> Sch</w:t>
      </w:r>
      <w:r w:rsidR="002652F2">
        <w:rPr>
          <w:b/>
          <w:i/>
          <w:szCs w:val="26"/>
        </w:rPr>
        <w:t>.</w:t>
      </w:r>
      <w:r w:rsidRPr="009434B2">
        <w:rPr>
          <w:b/>
          <w:szCs w:val="26"/>
        </w:rPr>
        <w:t>,</w:t>
      </w:r>
      <w:r>
        <w:rPr>
          <w:b/>
          <w:i/>
          <w:szCs w:val="26"/>
        </w:rPr>
        <w:t xml:space="preserve"> Special Sch</w:t>
      </w:r>
      <w:r w:rsidR="002652F2">
        <w:rPr>
          <w:b/>
          <w:i/>
          <w:szCs w:val="26"/>
        </w:rPr>
        <w:t>.</w:t>
      </w:r>
      <w:r>
        <w:rPr>
          <w:b/>
          <w:i/>
          <w:szCs w:val="26"/>
        </w:rPr>
        <w:t xml:space="preserve"> Dist. No. 1</w:t>
      </w:r>
      <w:r>
        <w:rPr>
          <w:b/>
          <w:szCs w:val="26"/>
        </w:rPr>
        <w:t xml:space="preserve">, 849 N.W.2d 437 (Minn. App. July 14, 2014) (A13-2030).  </w:t>
      </w:r>
    </w:p>
    <w:p w:rsidR="00710B33" w:rsidRPr="00710B33" w:rsidRDefault="00710B33" w:rsidP="00852C98">
      <w:pPr>
        <w:ind w:firstLine="720"/>
        <w:rPr>
          <w:b/>
          <w:szCs w:val="26"/>
        </w:rPr>
      </w:pPr>
      <w:r w:rsidRPr="00710B33">
        <w:rPr>
          <w:color w:val="000000"/>
          <w:szCs w:val="26"/>
        </w:rPr>
        <w:t>When a school board terminates a teacher’s employment in accordance with the Teacher Tenure Act, Minn. Stat. § 122A.41 (2012), the board waives an argument that the teacher was discharged because he did not have a valid employment contract.</w:t>
      </w:r>
    </w:p>
    <w:p w:rsidR="00C000BD" w:rsidRDefault="00C000BD" w:rsidP="00852C98">
      <w:pPr>
        <w:pStyle w:val="FootnoteText"/>
        <w:tabs>
          <w:tab w:val="left" w:pos="720"/>
          <w:tab w:val="left" w:pos="1440"/>
          <w:tab w:val="left" w:pos="2160"/>
        </w:tabs>
        <w:rPr>
          <w:b/>
          <w:u w:val="single"/>
        </w:rPr>
      </w:pPr>
    </w:p>
    <w:p w:rsidR="00FF0D88" w:rsidRDefault="00FF0D88" w:rsidP="00852C98">
      <w:pPr>
        <w:pStyle w:val="FootnoteText"/>
        <w:tabs>
          <w:tab w:val="left" w:pos="720"/>
          <w:tab w:val="left" w:pos="1440"/>
          <w:tab w:val="left" w:pos="2160"/>
        </w:tabs>
        <w:rPr>
          <w:b/>
          <w:u w:val="single"/>
        </w:rPr>
      </w:pPr>
    </w:p>
    <w:p w:rsidR="00C000BD" w:rsidRDefault="00C000BD" w:rsidP="00852C98">
      <w:pPr>
        <w:pStyle w:val="FootnoteText"/>
        <w:tabs>
          <w:tab w:val="left" w:pos="720"/>
          <w:tab w:val="left" w:pos="1440"/>
          <w:tab w:val="left" w:pos="2160"/>
        </w:tabs>
        <w:rPr>
          <w:b/>
          <w:u w:val="single"/>
        </w:rPr>
      </w:pPr>
      <w:r>
        <w:rPr>
          <w:b/>
          <w:u w:val="single"/>
        </w:rPr>
        <w:t>Liens &amp; Foreclosures</w:t>
      </w:r>
    </w:p>
    <w:p w:rsidR="00C000BD" w:rsidRDefault="00C000BD" w:rsidP="00852C98">
      <w:pPr>
        <w:pStyle w:val="FootnoteText"/>
        <w:tabs>
          <w:tab w:val="left" w:pos="720"/>
          <w:tab w:val="left" w:pos="1440"/>
          <w:tab w:val="left" w:pos="2160"/>
        </w:tabs>
      </w:pPr>
    </w:p>
    <w:p w:rsidR="00D00E64" w:rsidRDefault="00D00E64" w:rsidP="00852C98">
      <w:pPr>
        <w:tabs>
          <w:tab w:val="left" w:pos="720"/>
          <w:tab w:val="left" w:pos="1440"/>
          <w:tab w:val="left" w:pos="2160"/>
        </w:tabs>
      </w:pPr>
      <w:r>
        <w:rPr>
          <w:b/>
          <w:i/>
        </w:rPr>
        <w:t>Hunter v. Anchor Bank, N.A.</w:t>
      </w:r>
      <w:r w:rsidRPr="009434B2">
        <w:rPr>
          <w:b/>
        </w:rPr>
        <w:t>,</w:t>
      </w:r>
      <w:r>
        <w:rPr>
          <w:b/>
        </w:rPr>
        <w:t xml:space="preserve"> 842 N.W.2d 10 (Minn. App. Dec. 23, 2013), </w:t>
      </w:r>
      <w:r w:rsidRPr="00FC13F9">
        <w:rPr>
          <w:b/>
          <w:i/>
        </w:rPr>
        <w:t xml:space="preserve">review denied </w:t>
      </w:r>
      <w:r w:rsidRPr="00FC13F9">
        <w:rPr>
          <w:b/>
        </w:rPr>
        <w:t>(Minn. Mar. 18, 2014)</w:t>
      </w:r>
      <w:r>
        <w:rPr>
          <w:b/>
        </w:rPr>
        <w:t xml:space="preserve"> (A13-0515).</w:t>
      </w:r>
    </w:p>
    <w:p w:rsidR="00D00E64" w:rsidRDefault="00D00E64" w:rsidP="00852C98">
      <w:pPr>
        <w:pStyle w:val="Heading1"/>
        <w:keepNext w:val="0"/>
        <w:ind w:firstLine="720"/>
        <w:rPr>
          <w:b w:val="0"/>
          <w:szCs w:val="26"/>
        </w:rPr>
      </w:pPr>
      <w:r>
        <w:rPr>
          <w:b w:val="0"/>
          <w:szCs w:val="26"/>
        </w:rPr>
        <w:t>If two separate parcels of land secure one mortgage, each parcel</w:t>
      </w:r>
      <w:r w:rsidRPr="00BA289A">
        <w:rPr>
          <w:b w:val="0"/>
          <w:szCs w:val="26"/>
        </w:rPr>
        <w:t xml:space="preserve"> must be sold separately at a foreclosure sale</w:t>
      </w:r>
      <w:r>
        <w:rPr>
          <w:b w:val="0"/>
          <w:szCs w:val="26"/>
        </w:rPr>
        <w:t xml:space="preserve">, as required by </w:t>
      </w:r>
      <w:r w:rsidRPr="00BA289A">
        <w:rPr>
          <w:b w:val="0"/>
          <w:szCs w:val="26"/>
        </w:rPr>
        <w:t>Minn</w:t>
      </w:r>
      <w:r>
        <w:rPr>
          <w:b w:val="0"/>
          <w:szCs w:val="26"/>
        </w:rPr>
        <w:t xml:space="preserve">esota </w:t>
      </w:r>
      <w:r w:rsidRPr="00BA289A">
        <w:rPr>
          <w:b w:val="0"/>
          <w:szCs w:val="26"/>
        </w:rPr>
        <w:t>Stat</w:t>
      </w:r>
      <w:r>
        <w:rPr>
          <w:b w:val="0"/>
          <w:szCs w:val="26"/>
        </w:rPr>
        <w:t xml:space="preserve">utes section </w:t>
      </w:r>
      <w:r w:rsidRPr="00BA289A">
        <w:rPr>
          <w:b w:val="0"/>
          <w:szCs w:val="26"/>
        </w:rPr>
        <w:t>580.08</w:t>
      </w:r>
      <w:r>
        <w:rPr>
          <w:b w:val="0"/>
          <w:szCs w:val="26"/>
        </w:rPr>
        <w:t xml:space="preserve">, and the failure </w:t>
      </w:r>
      <w:r w:rsidRPr="00D15F70">
        <w:rPr>
          <w:b w:val="0"/>
          <w:szCs w:val="26"/>
        </w:rPr>
        <w:t>to strictly comply</w:t>
      </w:r>
      <w:r>
        <w:rPr>
          <w:b w:val="0"/>
          <w:szCs w:val="26"/>
        </w:rPr>
        <w:t xml:space="preserve"> with this requirement causes </w:t>
      </w:r>
      <w:r w:rsidRPr="00D15F70">
        <w:rPr>
          <w:b w:val="0"/>
          <w:szCs w:val="26"/>
        </w:rPr>
        <w:t xml:space="preserve">a </w:t>
      </w:r>
      <w:r>
        <w:rPr>
          <w:b w:val="0"/>
          <w:szCs w:val="26"/>
        </w:rPr>
        <w:t xml:space="preserve">non-compliant </w:t>
      </w:r>
      <w:r w:rsidRPr="00D15F70">
        <w:rPr>
          <w:b w:val="0"/>
          <w:szCs w:val="26"/>
        </w:rPr>
        <w:t xml:space="preserve">foreclosure sale </w:t>
      </w:r>
      <w:r>
        <w:rPr>
          <w:b w:val="0"/>
          <w:szCs w:val="26"/>
        </w:rPr>
        <w:t xml:space="preserve">to be </w:t>
      </w:r>
      <w:r w:rsidRPr="00D15F70">
        <w:rPr>
          <w:b w:val="0"/>
          <w:szCs w:val="26"/>
        </w:rPr>
        <w:t>void</w:t>
      </w:r>
      <w:r>
        <w:rPr>
          <w:b w:val="0"/>
          <w:szCs w:val="26"/>
        </w:rPr>
        <w:t>.</w:t>
      </w:r>
    </w:p>
    <w:p w:rsidR="00D00E64" w:rsidRPr="00D00E64" w:rsidRDefault="00D00E64" w:rsidP="00852C98"/>
    <w:p w:rsidR="00BB047F" w:rsidRPr="00BB047F" w:rsidRDefault="00BB047F" w:rsidP="00852C98">
      <w:pPr>
        <w:rPr>
          <w:b/>
        </w:rPr>
      </w:pPr>
      <w:r>
        <w:rPr>
          <w:b/>
          <w:i/>
        </w:rPr>
        <w:t>Reilly v. Antonello</w:t>
      </w:r>
      <w:r w:rsidR="004B7C48">
        <w:rPr>
          <w:b/>
        </w:rPr>
        <w:t>, 852 N.W.2d 694</w:t>
      </w:r>
      <w:r>
        <w:rPr>
          <w:b/>
        </w:rPr>
        <w:t xml:space="preserve"> (Minn. App. August 18, 2014) (A14-0030).  </w:t>
      </w:r>
    </w:p>
    <w:p w:rsidR="00BB047F" w:rsidRPr="00BB047F" w:rsidRDefault="00BB047F" w:rsidP="00852C98">
      <w:pPr>
        <w:ind w:firstLine="720"/>
        <w:rPr>
          <w:b/>
        </w:rPr>
      </w:pPr>
      <w:r w:rsidRPr="00BB047F">
        <w:rPr>
          <w:color w:val="000000"/>
          <w:szCs w:val="26"/>
        </w:rPr>
        <w:t>A sole director, officer, and shareholder of a closely held corporation who facilitates indirect transfers of corporate stock by the corporation to his spouse to hinder his creditors from collecting on judgments against him violates the Minnesota Uniform Fraudulent Transfer Act. Minn. Stat. §§ 513.41–.51 (2012).</w:t>
      </w:r>
    </w:p>
    <w:p w:rsidR="00BB047F" w:rsidRDefault="00BB047F" w:rsidP="00852C98">
      <w:pPr>
        <w:rPr>
          <w:b/>
          <w:u w:val="single"/>
        </w:rPr>
      </w:pPr>
    </w:p>
    <w:p w:rsidR="00AB60E0" w:rsidRDefault="00AB60E0" w:rsidP="00852C98">
      <w:pPr>
        <w:rPr>
          <w:b/>
          <w:u w:val="single"/>
        </w:rPr>
      </w:pPr>
    </w:p>
    <w:p w:rsidR="00C000BD" w:rsidRDefault="00A10458" w:rsidP="00852C98">
      <w:pPr>
        <w:rPr>
          <w:b/>
          <w:u w:val="single"/>
        </w:rPr>
      </w:pPr>
      <w:r>
        <w:rPr>
          <w:b/>
          <w:u w:val="single"/>
        </w:rPr>
        <w:t>Local Government</w:t>
      </w:r>
    </w:p>
    <w:p w:rsidR="00A10458" w:rsidRDefault="00A10458" w:rsidP="00852C98">
      <w:pPr>
        <w:rPr>
          <w:b/>
          <w:u w:val="single"/>
        </w:rPr>
      </w:pPr>
    </w:p>
    <w:p w:rsidR="00A10458" w:rsidRDefault="00A10458" w:rsidP="00852C98">
      <w:pPr>
        <w:rPr>
          <w:b/>
        </w:rPr>
      </w:pPr>
      <w:r>
        <w:rPr>
          <w:b/>
          <w:i/>
        </w:rPr>
        <w:t>In re Environmental Impact Statement</w:t>
      </w:r>
      <w:r>
        <w:rPr>
          <w:b/>
        </w:rPr>
        <w:t xml:space="preserve">, 849 N.W.2d 71 (Minn. App. June 16, 2014) (A13-0745, A13-1198).  </w:t>
      </w:r>
    </w:p>
    <w:p w:rsidR="00A10458" w:rsidRPr="00A10458" w:rsidRDefault="00A10458" w:rsidP="00852C98">
      <w:pPr>
        <w:ind w:firstLine="720"/>
        <w:rPr>
          <w:b/>
        </w:rPr>
      </w:pPr>
      <w:r>
        <w:rPr>
          <w:szCs w:val="26"/>
        </w:rPr>
        <w:t xml:space="preserve">To determine whether the cumulative potential effects of a proposed project results in significant environmental effects, the responsible governmental unit must consider, (1) whether the cumulative potential effect is significant, (2) whether the contribution from the project is significant when viewed in connection with other contributions to the cumulative potential effect, (3) the degree to which the project </w:t>
      </w:r>
      <w:r>
        <w:rPr>
          <w:szCs w:val="26"/>
        </w:rPr>
        <w:lastRenderedPageBreak/>
        <w:t>complies with approved mitigation measures specifically designed to address the cumulative potential effect, and (4) the efforts of the proposer to minimize the contributions from the project.</w:t>
      </w:r>
    </w:p>
    <w:p w:rsidR="00C000BD" w:rsidRDefault="00C000BD" w:rsidP="00AA1609">
      <w:pPr>
        <w:rPr>
          <w:szCs w:val="26"/>
        </w:rPr>
      </w:pPr>
    </w:p>
    <w:p w:rsidR="00AA1609" w:rsidRDefault="00AA1609" w:rsidP="00AA1609">
      <w:pPr>
        <w:rPr>
          <w:szCs w:val="26"/>
        </w:rPr>
      </w:pPr>
    </w:p>
    <w:p w:rsidR="00C000BD" w:rsidRDefault="00C000BD" w:rsidP="00852C98">
      <w:pPr>
        <w:pStyle w:val="FootnoteText"/>
        <w:tabs>
          <w:tab w:val="left" w:pos="720"/>
          <w:tab w:val="left" w:pos="1440"/>
          <w:tab w:val="left" w:pos="2160"/>
        </w:tabs>
        <w:rPr>
          <w:b/>
          <w:u w:val="single"/>
        </w:rPr>
      </w:pPr>
      <w:r>
        <w:rPr>
          <w:b/>
          <w:u w:val="single"/>
        </w:rPr>
        <w:t>Probate</w:t>
      </w:r>
    </w:p>
    <w:p w:rsidR="00C000BD" w:rsidRPr="006400C5" w:rsidRDefault="00C000BD" w:rsidP="00852C98">
      <w:pPr>
        <w:outlineLvl w:val="3"/>
        <w:rPr>
          <w:b/>
          <w:bCs/>
          <w:szCs w:val="26"/>
        </w:rPr>
      </w:pPr>
    </w:p>
    <w:p w:rsidR="00495EA7" w:rsidRDefault="00495EA7" w:rsidP="00852C98">
      <w:pPr>
        <w:rPr>
          <w:b/>
        </w:rPr>
      </w:pPr>
      <w:r>
        <w:rPr>
          <w:b/>
          <w:i/>
        </w:rPr>
        <w:t>In re Guardianship and Conservatorship of Durand</w:t>
      </w:r>
      <w:r>
        <w:rPr>
          <w:b/>
        </w:rPr>
        <w:t>, 845</w:t>
      </w:r>
      <w:r w:rsidRPr="000C06F3">
        <w:rPr>
          <w:b/>
        </w:rPr>
        <w:t xml:space="preserve"> N.W.2d </w:t>
      </w:r>
      <w:r>
        <w:rPr>
          <w:b/>
        </w:rPr>
        <w:t>821</w:t>
      </w:r>
      <w:r w:rsidRPr="000C06F3">
        <w:rPr>
          <w:b/>
        </w:rPr>
        <w:t xml:space="preserve"> </w:t>
      </w:r>
      <w:r>
        <w:rPr>
          <w:b/>
        </w:rPr>
        <w:t xml:space="preserve">(Minn. App. Mar. 3, 2014), </w:t>
      </w:r>
      <w:r w:rsidRPr="00E53110">
        <w:rPr>
          <w:b/>
          <w:i/>
        </w:rPr>
        <w:t xml:space="preserve">review granted </w:t>
      </w:r>
      <w:r w:rsidRPr="00E53110">
        <w:rPr>
          <w:b/>
        </w:rPr>
        <w:t>(Minn. Apr. 29, 2014)</w:t>
      </w:r>
      <w:r>
        <w:rPr>
          <w:b/>
        </w:rPr>
        <w:t xml:space="preserve"> (A13-1415).</w:t>
      </w:r>
    </w:p>
    <w:p w:rsidR="00495EA7" w:rsidRDefault="00495EA7" w:rsidP="00852C98">
      <w:pPr>
        <w:pStyle w:val="Heading1"/>
        <w:keepNext w:val="0"/>
        <w:ind w:firstLine="720"/>
        <w:rPr>
          <w:b w:val="0"/>
          <w:szCs w:val="26"/>
        </w:rPr>
      </w:pPr>
      <w:r w:rsidRPr="00916385">
        <w:rPr>
          <w:b w:val="0"/>
          <w:szCs w:val="26"/>
        </w:rPr>
        <w:t>Minnesota Statute section 524.2-212, which requires a protected surviving spouse to receive court authorization before filing an elective-share petition, does not violate equal protection rights</w:t>
      </w:r>
      <w:r>
        <w:rPr>
          <w:b w:val="0"/>
          <w:szCs w:val="26"/>
        </w:rPr>
        <w:t xml:space="preserve"> under the Minnesota Constitution</w:t>
      </w:r>
      <w:r w:rsidRPr="00916385">
        <w:rPr>
          <w:b w:val="0"/>
          <w:szCs w:val="26"/>
        </w:rPr>
        <w:t xml:space="preserve"> because protected and non-protected spouses are not similarly situated.</w:t>
      </w:r>
    </w:p>
    <w:p w:rsidR="00495EA7" w:rsidRDefault="00495EA7" w:rsidP="00852C98">
      <w:pPr>
        <w:rPr>
          <w:b/>
          <w:i/>
          <w:szCs w:val="26"/>
        </w:rPr>
      </w:pPr>
    </w:p>
    <w:p w:rsidR="00AB60E0" w:rsidRPr="008C0E59" w:rsidRDefault="00AB60E0" w:rsidP="00AB60E0">
      <w:pPr>
        <w:rPr>
          <w:b/>
        </w:rPr>
      </w:pPr>
      <w:r>
        <w:rPr>
          <w:b/>
          <w:i/>
        </w:rPr>
        <w:t>In re Estate of Pawlik</w:t>
      </w:r>
      <w:r>
        <w:rPr>
          <w:b/>
        </w:rPr>
        <w:t>, 845</w:t>
      </w:r>
      <w:r w:rsidRPr="000C06F3">
        <w:rPr>
          <w:b/>
        </w:rPr>
        <w:t xml:space="preserve"> N.W.2d </w:t>
      </w:r>
      <w:r>
        <w:rPr>
          <w:b/>
        </w:rPr>
        <w:t>249</w:t>
      </w:r>
      <w:r w:rsidRPr="000C06F3">
        <w:rPr>
          <w:b/>
        </w:rPr>
        <w:t xml:space="preserve"> </w:t>
      </w:r>
      <w:r>
        <w:rPr>
          <w:b/>
        </w:rPr>
        <w:t xml:space="preserve">(Minn. App. Apr. 14, 2014), </w:t>
      </w:r>
      <w:r>
        <w:rPr>
          <w:b/>
          <w:i/>
        </w:rPr>
        <w:t xml:space="preserve">review denied </w:t>
      </w:r>
      <w:r>
        <w:rPr>
          <w:b/>
        </w:rPr>
        <w:t>(Minn. June 25, 2014) (A13-1628).</w:t>
      </w:r>
    </w:p>
    <w:p w:rsidR="00AB60E0" w:rsidRPr="008C0E59" w:rsidRDefault="00AB60E0" w:rsidP="00AB60E0">
      <w:pPr>
        <w:ind w:firstLine="720"/>
        <w:outlineLvl w:val="0"/>
        <w:rPr>
          <w:szCs w:val="26"/>
        </w:rPr>
      </w:pPr>
      <w:r>
        <w:rPr>
          <w:szCs w:val="26"/>
        </w:rPr>
        <w:t xml:space="preserve">A creditor who has a </w:t>
      </w:r>
      <w:r w:rsidRPr="00FB5E18">
        <w:rPr>
          <w:szCs w:val="26"/>
        </w:rPr>
        <w:t xml:space="preserve">property right in or claim against </w:t>
      </w:r>
      <w:r>
        <w:rPr>
          <w:szCs w:val="26"/>
        </w:rPr>
        <w:t>a</w:t>
      </w:r>
      <w:r w:rsidRPr="00FB5E18">
        <w:rPr>
          <w:szCs w:val="26"/>
        </w:rPr>
        <w:t xml:space="preserve"> decedent</w:t>
      </w:r>
      <w:r>
        <w:rPr>
          <w:szCs w:val="26"/>
        </w:rPr>
        <w:t>’s estate</w:t>
      </w:r>
      <w:r w:rsidRPr="00071969">
        <w:rPr>
          <w:szCs w:val="26"/>
        </w:rPr>
        <w:t xml:space="preserve"> is an interested person under Minn. Stat. §</w:t>
      </w:r>
      <w:r>
        <w:rPr>
          <w:szCs w:val="26"/>
        </w:rPr>
        <w:t> </w:t>
      </w:r>
      <w:r w:rsidRPr="00071969">
        <w:rPr>
          <w:szCs w:val="26"/>
        </w:rPr>
        <w:t xml:space="preserve">524.1-201(32) (2012), </w:t>
      </w:r>
      <w:r>
        <w:rPr>
          <w:szCs w:val="26"/>
        </w:rPr>
        <w:t xml:space="preserve">and therefore has standing to </w:t>
      </w:r>
      <w:r w:rsidRPr="00071969">
        <w:rPr>
          <w:szCs w:val="26"/>
        </w:rPr>
        <w:t>petition for a determination of descent under Minn. Stat. §</w:t>
      </w:r>
      <w:r>
        <w:rPr>
          <w:szCs w:val="26"/>
        </w:rPr>
        <w:t> </w:t>
      </w:r>
      <w:r w:rsidRPr="00071969">
        <w:rPr>
          <w:szCs w:val="26"/>
        </w:rPr>
        <w:t>525.31 (2012)</w:t>
      </w:r>
      <w:r>
        <w:rPr>
          <w:szCs w:val="26"/>
        </w:rPr>
        <w:t>.  A judgment creditor of an heir has a property right in a decedent’s estate if the judgment can be satisfied by the heir’s inherited property.</w:t>
      </w:r>
    </w:p>
    <w:p w:rsidR="00AB60E0" w:rsidRDefault="00AB60E0" w:rsidP="00852C98">
      <w:pPr>
        <w:rPr>
          <w:b/>
          <w:i/>
          <w:szCs w:val="26"/>
        </w:rPr>
      </w:pPr>
    </w:p>
    <w:p w:rsidR="00C000BD" w:rsidRPr="00625402" w:rsidRDefault="00C000BD" w:rsidP="00852C98">
      <w:pPr>
        <w:outlineLvl w:val="3"/>
        <w:rPr>
          <w:szCs w:val="26"/>
        </w:rPr>
      </w:pPr>
    </w:p>
    <w:p w:rsidR="00C000BD" w:rsidRPr="00EF617E" w:rsidRDefault="00C000BD" w:rsidP="00852C98">
      <w:pPr>
        <w:tabs>
          <w:tab w:val="left" w:pos="720"/>
          <w:tab w:val="left" w:pos="1440"/>
          <w:tab w:val="left" w:pos="2160"/>
        </w:tabs>
        <w:rPr>
          <w:b/>
          <w:u w:val="single"/>
        </w:rPr>
      </w:pPr>
      <w:r>
        <w:rPr>
          <w:b/>
          <w:u w:val="single"/>
        </w:rPr>
        <w:t>Real Estate &amp; Property Rights</w:t>
      </w:r>
    </w:p>
    <w:p w:rsidR="00C000BD" w:rsidRDefault="00C000BD" w:rsidP="00852C98">
      <w:pPr>
        <w:outlineLvl w:val="3"/>
        <w:rPr>
          <w:szCs w:val="26"/>
        </w:rPr>
      </w:pPr>
    </w:p>
    <w:p w:rsidR="002046D6" w:rsidRDefault="002046D6" w:rsidP="00852C98">
      <w:pPr>
        <w:tabs>
          <w:tab w:val="left" w:pos="720"/>
          <w:tab w:val="left" w:pos="1440"/>
          <w:tab w:val="left" w:pos="2160"/>
        </w:tabs>
      </w:pPr>
      <w:r>
        <w:rPr>
          <w:b/>
          <w:i/>
        </w:rPr>
        <w:t>Koski v. Johnson</w:t>
      </w:r>
      <w:r>
        <w:rPr>
          <w:b/>
        </w:rPr>
        <w:t xml:space="preserve">, 837 N.W.2d 739 (Minn. App. Sept. 23, 2013), </w:t>
      </w:r>
      <w:r>
        <w:rPr>
          <w:b/>
          <w:i/>
        </w:rPr>
        <w:t xml:space="preserve">review denied </w:t>
      </w:r>
      <w:r>
        <w:rPr>
          <w:b/>
        </w:rPr>
        <w:t>(Minn. Dec. 17, 2013) (A12-2274).</w:t>
      </w:r>
    </w:p>
    <w:p w:rsidR="002046D6" w:rsidRDefault="002046D6" w:rsidP="00852C98">
      <w:pPr>
        <w:tabs>
          <w:tab w:val="left" w:pos="720"/>
          <w:tab w:val="left" w:pos="1440"/>
          <w:tab w:val="left" w:pos="2160"/>
        </w:tabs>
        <w:rPr>
          <w:szCs w:val="26"/>
        </w:rPr>
      </w:pPr>
      <w:r>
        <w:rPr>
          <w:szCs w:val="26"/>
        </w:rPr>
        <w:tab/>
        <w:t>Minnesota Statutes section 504B.331 (2012) requires strict compliance, not merely substantial compliance.</w:t>
      </w:r>
    </w:p>
    <w:p w:rsidR="002046D6" w:rsidRPr="005A5080" w:rsidRDefault="002046D6" w:rsidP="00852C98">
      <w:pPr>
        <w:tabs>
          <w:tab w:val="left" w:pos="720"/>
          <w:tab w:val="left" w:pos="1440"/>
          <w:tab w:val="left" w:pos="2160"/>
        </w:tabs>
      </w:pPr>
    </w:p>
    <w:p w:rsidR="00F41E62" w:rsidRDefault="00F41E62" w:rsidP="00852C98">
      <w:pPr>
        <w:tabs>
          <w:tab w:val="left" w:pos="720"/>
          <w:tab w:val="left" w:pos="1440"/>
          <w:tab w:val="left" w:pos="2160"/>
        </w:tabs>
      </w:pPr>
      <w:r>
        <w:rPr>
          <w:b/>
          <w:i/>
        </w:rPr>
        <w:t>Gen. Mills Fed. Credit Union v. Lofgren</w:t>
      </w:r>
      <w:r>
        <w:rPr>
          <w:b/>
        </w:rPr>
        <w:t>, 839 N.W.2d 766 (Minn. App. Dec. 2, 2013) (A13-0781).</w:t>
      </w:r>
    </w:p>
    <w:p w:rsidR="00F41E62" w:rsidRDefault="00F41E62" w:rsidP="00852C98">
      <w:pPr>
        <w:pStyle w:val="Heading1"/>
        <w:keepNext w:val="0"/>
        <w:ind w:firstLine="720"/>
        <w:rPr>
          <w:b w:val="0"/>
          <w:szCs w:val="26"/>
        </w:rPr>
      </w:pPr>
      <w:r>
        <w:rPr>
          <w:b w:val="0"/>
          <w:szCs w:val="26"/>
        </w:rPr>
        <w:t>When the custodian of an individual retirement account (IRA) brings an interpleader action allowing the district court to determine a controversy between parties who each claim to be the rightful beneficiary of the IRA, the district court, acting in equity, may determine that the named beneficiary is not the rightful beneficiary if the evidence establishes that the IRA owner has substantially complied with the IRA custodian’s procedures for changing the IRA beneficiary or has done all that the owner reasonably believed was required by the custodian to change the IRA beneficiary.</w:t>
      </w:r>
    </w:p>
    <w:p w:rsidR="00F41E62" w:rsidRPr="00F41E62" w:rsidRDefault="00F41E62" w:rsidP="00852C98"/>
    <w:p w:rsidR="00C000BD" w:rsidRDefault="00C000BD" w:rsidP="00852C98">
      <w:pPr>
        <w:tabs>
          <w:tab w:val="left" w:pos="720"/>
          <w:tab w:val="left" w:pos="1440"/>
          <w:tab w:val="left" w:pos="2160"/>
        </w:tabs>
      </w:pPr>
      <w:r>
        <w:rPr>
          <w:b/>
          <w:i/>
        </w:rPr>
        <w:lastRenderedPageBreak/>
        <w:t>Deutsche Bank Nat’l Trust Co. v. Hanson,</w:t>
      </w:r>
      <w:r>
        <w:rPr>
          <w:b/>
        </w:rPr>
        <w:t xml:space="preserve"> 841 N.W.2d 161 (Minn. App. Jan. 6, 2014) (A13-0370).</w:t>
      </w:r>
    </w:p>
    <w:p w:rsidR="00C000BD" w:rsidRPr="00201BF4" w:rsidRDefault="00C000BD" w:rsidP="00852C98">
      <w:pPr>
        <w:pStyle w:val="Heading1"/>
        <w:keepNext w:val="0"/>
        <w:ind w:firstLine="720"/>
        <w:rPr>
          <w:b w:val="0"/>
        </w:rPr>
      </w:pPr>
      <w:r>
        <w:rPr>
          <w:b w:val="0"/>
        </w:rPr>
        <w:t xml:space="preserve">When a land possessor’s lawsuit contesting the foreclosure purchaser’s ownership interest involves no issues that are essential to the purchaser’s separate eviction proceeding, the district court does not abuse its discretion by denying the possessor’s motion to stay the eviction proceeding pending the outcome of the ownership litigation. </w:t>
      </w:r>
    </w:p>
    <w:p w:rsidR="00C000BD" w:rsidRDefault="00C000BD" w:rsidP="00852C98">
      <w:pPr>
        <w:ind w:firstLine="720"/>
        <w:rPr>
          <w:szCs w:val="26"/>
        </w:rPr>
      </w:pPr>
    </w:p>
    <w:p w:rsidR="00C000BD" w:rsidRDefault="00C000BD" w:rsidP="00852C98">
      <w:pPr>
        <w:rPr>
          <w:b/>
        </w:rPr>
      </w:pPr>
      <w:r>
        <w:rPr>
          <w:b/>
          <w:i/>
        </w:rPr>
        <w:t>Rosso v. Hallmark Homes of Minneapolis, Inc.</w:t>
      </w:r>
      <w:r>
        <w:rPr>
          <w:b/>
        </w:rPr>
        <w:t>, 843 N.W.2d 798 (Minn. App. Mar.</w:t>
      </w:r>
      <w:r w:rsidR="00B82AA5">
        <w:rPr>
          <w:b/>
        </w:rPr>
        <w:t> </w:t>
      </w:r>
      <w:r>
        <w:rPr>
          <w:b/>
        </w:rPr>
        <w:t xml:space="preserve">10, 2014), </w:t>
      </w:r>
      <w:r w:rsidRPr="00D52264">
        <w:rPr>
          <w:b/>
          <w:i/>
        </w:rPr>
        <w:t xml:space="preserve">review denied </w:t>
      </w:r>
      <w:r w:rsidRPr="00D52264">
        <w:rPr>
          <w:b/>
        </w:rPr>
        <w:t>(Minn. May 20, 2014)</w:t>
      </w:r>
      <w:r>
        <w:rPr>
          <w:b/>
        </w:rPr>
        <w:t xml:space="preserve"> (A13-1304).</w:t>
      </w:r>
    </w:p>
    <w:p w:rsidR="00C000BD" w:rsidRPr="000C427B" w:rsidRDefault="00C000BD" w:rsidP="00852C98">
      <w:pPr>
        <w:pStyle w:val="Heading1"/>
        <w:keepNext w:val="0"/>
        <w:ind w:firstLine="720"/>
      </w:pPr>
      <w:r>
        <w:rPr>
          <w:b w:val="0"/>
        </w:rPr>
        <w:t>“S</w:t>
      </w:r>
      <w:r w:rsidRPr="00971E00">
        <w:rPr>
          <w:b w:val="0"/>
        </w:rPr>
        <w:t xml:space="preserve">ubstantial completion,” </w:t>
      </w:r>
      <w:r>
        <w:rPr>
          <w:b w:val="0"/>
        </w:rPr>
        <w:t xml:space="preserve">as </w:t>
      </w:r>
      <w:r w:rsidRPr="00971E00">
        <w:rPr>
          <w:b w:val="0"/>
        </w:rPr>
        <w:t>used and defined in Mi</w:t>
      </w:r>
      <w:r>
        <w:rPr>
          <w:b w:val="0"/>
        </w:rPr>
        <w:t>nn. Stat. § 541.051, subd. 1(a) (2012),</w:t>
      </w:r>
      <w:r w:rsidRPr="00971E00">
        <w:rPr>
          <w:b w:val="0"/>
        </w:rPr>
        <w:t xml:space="preserve"> to determine the </w:t>
      </w:r>
      <w:r>
        <w:rPr>
          <w:b w:val="0"/>
        </w:rPr>
        <w:t>event</w:t>
      </w:r>
      <w:r w:rsidRPr="00971E00">
        <w:rPr>
          <w:b w:val="0"/>
        </w:rPr>
        <w:t xml:space="preserve"> triggering commencement of the ten-year statute of repose</w:t>
      </w:r>
      <w:r>
        <w:rPr>
          <w:b w:val="0"/>
        </w:rPr>
        <w:t xml:space="preserve"> for claims arising out of improvements to real property, hinges on </w:t>
      </w:r>
      <w:r w:rsidRPr="00481E41">
        <w:rPr>
          <w:b w:val="0"/>
        </w:rPr>
        <w:t xml:space="preserve">the extent to which the structure’s physical condition nears completion so that it may be used </w:t>
      </w:r>
      <w:r>
        <w:rPr>
          <w:b w:val="0"/>
        </w:rPr>
        <w:t xml:space="preserve">or occupied </w:t>
      </w:r>
      <w:r w:rsidRPr="00481E41">
        <w:rPr>
          <w:b w:val="0"/>
        </w:rPr>
        <w:t xml:space="preserve">for </w:t>
      </w:r>
      <w:r>
        <w:rPr>
          <w:b w:val="0"/>
        </w:rPr>
        <w:t>the intended</w:t>
      </w:r>
      <w:r w:rsidRPr="00481E41">
        <w:rPr>
          <w:b w:val="0"/>
        </w:rPr>
        <w:t xml:space="preserve"> purpose of its construction</w:t>
      </w:r>
      <w:r>
        <w:rPr>
          <w:b w:val="0"/>
        </w:rPr>
        <w:t>, not on</w:t>
      </w:r>
      <w:r w:rsidRPr="007557E1">
        <w:rPr>
          <w:b w:val="0"/>
        </w:rPr>
        <w:t xml:space="preserve"> the </w:t>
      </w:r>
      <w:r>
        <w:rPr>
          <w:b w:val="0"/>
        </w:rPr>
        <w:t>issuance of a certificate of occupancy</w:t>
      </w:r>
      <w:r w:rsidRPr="00971E00">
        <w:rPr>
          <w:b w:val="0"/>
        </w:rPr>
        <w:t>.</w:t>
      </w:r>
      <w:r>
        <w:rPr>
          <w:b w:val="0"/>
        </w:rPr>
        <w:t xml:space="preserve">  </w:t>
      </w:r>
    </w:p>
    <w:p w:rsidR="00C000BD" w:rsidRDefault="00C000BD" w:rsidP="00852C98">
      <w:pPr>
        <w:rPr>
          <w:szCs w:val="26"/>
        </w:rPr>
      </w:pPr>
    </w:p>
    <w:p w:rsidR="004E1F64" w:rsidRPr="004E1F64" w:rsidRDefault="004E1F64" w:rsidP="00852C98">
      <w:pPr>
        <w:rPr>
          <w:b/>
          <w:szCs w:val="26"/>
        </w:rPr>
      </w:pPr>
      <w:r>
        <w:rPr>
          <w:b/>
          <w:i/>
          <w:szCs w:val="26"/>
        </w:rPr>
        <w:t>Bass v. Equity Residential Holdings, LLC</w:t>
      </w:r>
      <w:r>
        <w:rPr>
          <w:b/>
          <w:szCs w:val="26"/>
        </w:rPr>
        <w:t xml:space="preserve">, 849 N.W.2d </w:t>
      </w:r>
      <w:r w:rsidR="00C9132F">
        <w:rPr>
          <w:b/>
          <w:szCs w:val="26"/>
        </w:rPr>
        <w:t xml:space="preserve">87 (Minn. App. June 30, 2014) (A13-2177). </w:t>
      </w:r>
    </w:p>
    <w:p w:rsidR="004E1F64" w:rsidRDefault="004E1F64" w:rsidP="00852C98">
      <w:pPr>
        <w:ind w:firstLine="720"/>
        <w:rPr>
          <w:color w:val="000000"/>
          <w:szCs w:val="26"/>
        </w:rPr>
      </w:pPr>
      <w:r w:rsidRPr="004E1F64">
        <w:rPr>
          <w:color w:val="000000"/>
          <w:szCs w:val="26"/>
        </w:rPr>
        <w:t>The housing court, as a division of the district court, has jurisdiction to award monetary damages that are authorized under Minn. Stat. §§ 504B.00-.471 (2012 &amp; Supp. 2013).</w:t>
      </w:r>
    </w:p>
    <w:p w:rsidR="004E1F64" w:rsidRDefault="004E1F64" w:rsidP="00AA1609">
      <w:pPr>
        <w:rPr>
          <w:color w:val="000000"/>
          <w:szCs w:val="26"/>
        </w:rPr>
      </w:pPr>
    </w:p>
    <w:p w:rsidR="004E1F64" w:rsidRPr="004E1F64" w:rsidRDefault="004E1F64" w:rsidP="00AA1609">
      <w:pPr>
        <w:rPr>
          <w:b/>
          <w:szCs w:val="26"/>
        </w:rPr>
      </w:pPr>
    </w:p>
    <w:p w:rsidR="00C000BD" w:rsidRDefault="00C000BD" w:rsidP="00852C98">
      <w:pPr>
        <w:rPr>
          <w:b/>
          <w:szCs w:val="26"/>
          <w:u w:val="single"/>
        </w:rPr>
      </w:pPr>
      <w:r>
        <w:rPr>
          <w:b/>
          <w:szCs w:val="26"/>
          <w:u w:val="single"/>
        </w:rPr>
        <w:t>Remedies</w:t>
      </w:r>
    </w:p>
    <w:p w:rsidR="00C000BD" w:rsidRDefault="00C000BD" w:rsidP="00852C98">
      <w:pPr>
        <w:rPr>
          <w:b/>
          <w:szCs w:val="26"/>
          <w:u w:val="single"/>
        </w:rPr>
      </w:pPr>
    </w:p>
    <w:p w:rsidR="00C000BD" w:rsidRDefault="00C000BD" w:rsidP="00852C98">
      <w:pPr>
        <w:tabs>
          <w:tab w:val="left" w:pos="720"/>
          <w:tab w:val="left" w:pos="1440"/>
          <w:tab w:val="left" w:pos="2160"/>
        </w:tabs>
      </w:pPr>
      <w:r>
        <w:rPr>
          <w:b/>
          <w:i/>
        </w:rPr>
        <w:t>Cnty. of Scott v. Johnston,</w:t>
      </w:r>
      <w:r>
        <w:rPr>
          <w:b/>
        </w:rPr>
        <w:t xml:space="preserve"> 841 N.W.2d 357 (Minn. App. Dec. 30, 2013) (A13-0535).</w:t>
      </w:r>
    </w:p>
    <w:p w:rsidR="00C000BD" w:rsidRDefault="00C000BD" w:rsidP="00852C98">
      <w:pPr>
        <w:pStyle w:val="Heading1"/>
        <w:keepNext w:val="0"/>
        <w:ind w:firstLine="720"/>
      </w:pPr>
      <w:r>
        <w:rPr>
          <w:b w:val="0"/>
        </w:rPr>
        <w:t>1.</w:t>
      </w:r>
      <w:r>
        <w:rPr>
          <w:b w:val="0"/>
        </w:rPr>
        <w:tab/>
        <w:t>In an eminent-domain proceeding, the fact that a property owner is entitled to an award of reasonable attorney fees and other related fees and expenses under Minn. Stat. § 117.031 (2012), because the final award is more than forty percent greater than the last written offer of the condemning authority, does not preclude the district court from considering evidence of the amount involved and the results obtained in its determination of the reasonableness of the fees and expenses requested.</w:t>
      </w:r>
    </w:p>
    <w:p w:rsidR="00C000BD" w:rsidRPr="00810C39" w:rsidRDefault="00C000BD" w:rsidP="00852C98">
      <w:pPr>
        <w:pStyle w:val="Heading1"/>
        <w:keepNext w:val="0"/>
        <w:ind w:firstLine="720"/>
      </w:pPr>
      <w:r>
        <w:rPr>
          <w:b w:val="0"/>
        </w:rPr>
        <w:t>2</w:t>
      </w:r>
      <w:r w:rsidRPr="00810C39">
        <w:rPr>
          <w:b w:val="0"/>
        </w:rPr>
        <w:t>.</w:t>
      </w:r>
      <w:r w:rsidRPr="00810C39">
        <w:rPr>
          <w:b w:val="0"/>
        </w:rPr>
        <w:tab/>
      </w:r>
      <w:r>
        <w:rPr>
          <w:b w:val="0"/>
        </w:rPr>
        <w:t>In evaluating the reasonableness of requested attorney fees and related expenses, a district court’s findings are clearly erroneous if they are not supported by evidence in the record.</w:t>
      </w:r>
    </w:p>
    <w:p w:rsidR="00C000BD" w:rsidRDefault="00C000BD" w:rsidP="00852C98">
      <w:pPr>
        <w:rPr>
          <w:b/>
          <w:szCs w:val="26"/>
          <w:u w:val="single"/>
        </w:rPr>
      </w:pPr>
    </w:p>
    <w:p w:rsidR="00C000BD" w:rsidRDefault="00C000BD" w:rsidP="00852C98">
      <w:pPr>
        <w:tabs>
          <w:tab w:val="left" w:pos="720"/>
          <w:tab w:val="left" w:pos="1440"/>
          <w:tab w:val="left" w:pos="2160"/>
        </w:tabs>
      </w:pPr>
      <w:r>
        <w:rPr>
          <w:b/>
          <w:i/>
        </w:rPr>
        <w:t xml:space="preserve">Kinworthy v. Soo Line </w:t>
      </w:r>
      <w:r w:rsidRPr="00FC13F9">
        <w:rPr>
          <w:b/>
          <w:i/>
        </w:rPr>
        <w:t>R.R. Co.</w:t>
      </w:r>
      <w:r w:rsidRPr="00FC13F9">
        <w:rPr>
          <w:b/>
        </w:rPr>
        <w:t xml:space="preserve">, 841 N.W.2d 363 (Minn. App. Dec. 30, 2013), </w:t>
      </w:r>
      <w:r w:rsidRPr="00FC13F9">
        <w:rPr>
          <w:b/>
          <w:i/>
        </w:rPr>
        <w:t xml:space="preserve">review granted </w:t>
      </w:r>
      <w:r w:rsidRPr="00FC13F9">
        <w:rPr>
          <w:b/>
        </w:rPr>
        <w:t>(Minn. Mar. 18, 2014)</w:t>
      </w:r>
      <w:r>
        <w:rPr>
          <w:b/>
        </w:rPr>
        <w:t xml:space="preserve"> (A13-0915).</w:t>
      </w:r>
    </w:p>
    <w:p w:rsidR="00C000BD" w:rsidRDefault="00C000BD" w:rsidP="00852C98">
      <w:pPr>
        <w:tabs>
          <w:tab w:val="left" w:pos="720"/>
          <w:tab w:val="left" w:pos="1440"/>
          <w:tab w:val="left" w:pos="2160"/>
        </w:tabs>
      </w:pPr>
      <w:r>
        <w:rPr>
          <w:szCs w:val="26"/>
        </w:rPr>
        <w:tab/>
        <w:t xml:space="preserve">Postverdict, prejudgment interest is not available in a Minnesota state-court action brought under the Federal Employers’ Liability Act (FELA), </w:t>
      </w:r>
      <w:r w:rsidRPr="006824E8">
        <w:t>45 U.S.C. § 51 (2006</w:t>
      </w:r>
      <w:r>
        <w:t xml:space="preserve">).  </w:t>
      </w:r>
    </w:p>
    <w:p w:rsidR="00C000BD" w:rsidRDefault="00C000BD" w:rsidP="00852C98">
      <w:pPr>
        <w:tabs>
          <w:tab w:val="left" w:pos="720"/>
          <w:tab w:val="left" w:pos="1440"/>
          <w:tab w:val="left" w:pos="2160"/>
        </w:tabs>
      </w:pPr>
    </w:p>
    <w:p w:rsidR="00AA1609" w:rsidRDefault="00AA1609" w:rsidP="00852C98">
      <w:pPr>
        <w:tabs>
          <w:tab w:val="left" w:pos="720"/>
          <w:tab w:val="left" w:pos="1440"/>
          <w:tab w:val="left" w:pos="2160"/>
        </w:tabs>
      </w:pPr>
    </w:p>
    <w:p w:rsidR="00C000BD" w:rsidRDefault="00C000BD" w:rsidP="00852C98">
      <w:pPr>
        <w:rPr>
          <w:b/>
        </w:rPr>
      </w:pPr>
      <w:r>
        <w:rPr>
          <w:b/>
          <w:i/>
        </w:rPr>
        <w:lastRenderedPageBreak/>
        <w:t>Zirnhelt v. Carter</w:t>
      </w:r>
      <w:r>
        <w:rPr>
          <w:b/>
        </w:rPr>
        <w:t>, 843 N.W.2d 270 (Minn. App. Mar. 3, 2014) (A13-1053).</w:t>
      </w:r>
    </w:p>
    <w:p w:rsidR="00C000BD" w:rsidRPr="005345CB" w:rsidRDefault="00C000BD" w:rsidP="00852C98">
      <w:pPr>
        <w:rPr>
          <w:b/>
        </w:rPr>
      </w:pPr>
      <w:r w:rsidRPr="00A073BD">
        <w:rPr>
          <w:szCs w:val="26"/>
        </w:rPr>
        <w:t xml:space="preserve">(See </w:t>
      </w:r>
      <w:r w:rsidR="00DE585E">
        <w:rPr>
          <w:szCs w:val="26"/>
        </w:rPr>
        <w:t xml:space="preserve">page </w:t>
      </w:r>
      <w:r w:rsidR="00DC025E">
        <w:rPr>
          <w:szCs w:val="26"/>
        </w:rPr>
        <w:t xml:space="preserve">4 </w:t>
      </w:r>
      <w:r w:rsidRPr="00A073BD">
        <w:rPr>
          <w:szCs w:val="26"/>
        </w:rPr>
        <w:t xml:space="preserve">for </w:t>
      </w:r>
      <w:r>
        <w:rPr>
          <w:szCs w:val="26"/>
        </w:rPr>
        <w:t xml:space="preserve">an </w:t>
      </w:r>
      <w:r w:rsidRPr="00A073BD">
        <w:rPr>
          <w:szCs w:val="26"/>
        </w:rPr>
        <w:t>additiona</w:t>
      </w:r>
      <w:r>
        <w:rPr>
          <w:szCs w:val="26"/>
        </w:rPr>
        <w:t>l syllabus point for this case</w:t>
      </w:r>
      <w:r w:rsidRPr="00A073BD">
        <w:rPr>
          <w:szCs w:val="26"/>
        </w:rPr>
        <w:t>)</w:t>
      </w:r>
    </w:p>
    <w:p w:rsidR="00C000BD" w:rsidRDefault="00C000BD" w:rsidP="00852C98">
      <w:pPr>
        <w:pStyle w:val="Heading1"/>
        <w:keepNext w:val="0"/>
        <w:ind w:firstLine="720"/>
        <w:rPr>
          <w:b w:val="0"/>
        </w:rPr>
      </w:pPr>
      <w:r>
        <w:rPr>
          <w:b w:val="0"/>
        </w:rPr>
        <w:t>2.</w:t>
      </w:r>
      <w:r>
        <w:rPr>
          <w:b w:val="0"/>
        </w:rPr>
        <w:tab/>
      </w:r>
      <w:r w:rsidRPr="00C754E1">
        <w:rPr>
          <w:b w:val="0"/>
        </w:rPr>
        <w:t>When a conciliation court claim is removed to district court for trial de novo pursuant to Minn. R. Gen. Pract. 521, the district court is not limited by the jurisdiction</w:t>
      </w:r>
      <w:r>
        <w:rPr>
          <w:b w:val="0"/>
        </w:rPr>
        <w:t>al amount</w:t>
      </w:r>
      <w:r w:rsidRPr="00C754E1">
        <w:rPr>
          <w:b w:val="0"/>
        </w:rPr>
        <w:t xml:space="preserve"> of conciliation court in awarding damages.  </w:t>
      </w:r>
    </w:p>
    <w:p w:rsidR="00C000BD" w:rsidRDefault="00C000BD" w:rsidP="00852C98">
      <w:pPr>
        <w:tabs>
          <w:tab w:val="left" w:pos="720"/>
          <w:tab w:val="left" w:pos="1440"/>
          <w:tab w:val="left" w:pos="2160"/>
        </w:tabs>
      </w:pPr>
    </w:p>
    <w:p w:rsidR="00C000BD" w:rsidRPr="00C95551" w:rsidRDefault="00C000BD" w:rsidP="00852C98">
      <w:pPr>
        <w:rPr>
          <w:szCs w:val="26"/>
        </w:rPr>
      </w:pPr>
    </w:p>
    <w:p w:rsidR="00C000BD" w:rsidRPr="008D3794" w:rsidRDefault="00C000BD" w:rsidP="00852C98">
      <w:pPr>
        <w:pStyle w:val="FootnoteText"/>
        <w:tabs>
          <w:tab w:val="left" w:pos="720"/>
          <w:tab w:val="left" w:pos="1440"/>
          <w:tab w:val="left" w:pos="2160"/>
        </w:tabs>
        <w:rPr>
          <w:b/>
          <w:u w:val="single"/>
        </w:rPr>
      </w:pPr>
      <w:r>
        <w:rPr>
          <w:b/>
          <w:u w:val="single"/>
        </w:rPr>
        <w:t>Torts</w:t>
      </w:r>
    </w:p>
    <w:p w:rsidR="00C000BD" w:rsidRDefault="00C000BD" w:rsidP="00852C98">
      <w:pPr>
        <w:tabs>
          <w:tab w:val="left" w:pos="720"/>
          <w:tab w:val="left" w:pos="1440"/>
        </w:tabs>
      </w:pPr>
    </w:p>
    <w:p w:rsidR="00C000BD" w:rsidRDefault="00C000BD" w:rsidP="00852C98">
      <w:pPr>
        <w:tabs>
          <w:tab w:val="left" w:pos="720"/>
          <w:tab w:val="left" w:pos="1440"/>
          <w:tab w:val="left" w:pos="2160"/>
        </w:tabs>
      </w:pPr>
      <w:r>
        <w:rPr>
          <w:b/>
          <w:i/>
        </w:rPr>
        <w:t>Clark v. Connor</w:t>
      </w:r>
      <w:r>
        <w:rPr>
          <w:b/>
        </w:rPr>
        <w:t>, 843 N.W.2d 785 (Minn. App. Jan. 21, 2014) (A13-1110).</w:t>
      </w:r>
    </w:p>
    <w:p w:rsidR="00C000BD" w:rsidRPr="00FC13F9" w:rsidRDefault="00C000BD" w:rsidP="00852C98">
      <w:pPr>
        <w:pStyle w:val="Heading1"/>
        <w:keepNext w:val="0"/>
        <w:ind w:firstLine="720"/>
        <w:rPr>
          <w:b w:val="0"/>
          <w:szCs w:val="26"/>
        </w:rPr>
      </w:pPr>
      <w:r>
        <w:rPr>
          <w:b w:val="0"/>
          <w:szCs w:val="26"/>
        </w:rPr>
        <w:t>The dog-attack statute, Minn. Stat. § </w:t>
      </w:r>
      <w:r w:rsidRPr="003461F9">
        <w:rPr>
          <w:b w:val="0"/>
          <w:szCs w:val="26"/>
        </w:rPr>
        <w:t xml:space="preserve">347.22 (2012), does not preclude </w:t>
      </w:r>
      <w:r>
        <w:rPr>
          <w:b w:val="0"/>
          <w:szCs w:val="26"/>
        </w:rPr>
        <w:t>the allocation of</w:t>
      </w:r>
      <w:r w:rsidRPr="003461F9">
        <w:rPr>
          <w:b w:val="0"/>
          <w:szCs w:val="26"/>
        </w:rPr>
        <w:t xml:space="preserve"> fault between </w:t>
      </w:r>
      <w:r>
        <w:rPr>
          <w:b w:val="0"/>
          <w:szCs w:val="26"/>
        </w:rPr>
        <w:t xml:space="preserve">a dog owner and a co-tortfeasor under the comparative-fault statute, Minn. Stat. § 604.02 </w:t>
      </w:r>
      <w:r w:rsidRPr="003461F9">
        <w:rPr>
          <w:b w:val="0"/>
          <w:szCs w:val="26"/>
        </w:rPr>
        <w:t>(2012).</w:t>
      </w:r>
    </w:p>
    <w:p w:rsidR="00C000BD" w:rsidRDefault="00C000BD" w:rsidP="00852C98">
      <w:pPr>
        <w:rPr>
          <w:b/>
          <w:i/>
          <w:szCs w:val="26"/>
        </w:rPr>
      </w:pPr>
    </w:p>
    <w:p w:rsidR="00C000BD" w:rsidRDefault="00C000BD" w:rsidP="00852C98">
      <w:pPr>
        <w:rPr>
          <w:b/>
        </w:rPr>
      </w:pPr>
      <w:r>
        <w:rPr>
          <w:b/>
          <w:i/>
        </w:rPr>
        <w:t>Ptacek v. Earthsoils, Inc.</w:t>
      </w:r>
      <w:r>
        <w:rPr>
          <w:b/>
        </w:rPr>
        <w:t xml:space="preserve">, 844 </w:t>
      </w:r>
      <w:r w:rsidRPr="00DB25F3">
        <w:rPr>
          <w:b/>
        </w:rPr>
        <w:t>N.W.2d</w:t>
      </w:r>
      <w:r>
        <w:rPr>
          <w:b/>
        </w:rPr>
        <w:t xml:space="preserve"> 535 (Minn. App. Mar. 31, 2014) (A13-1335).</w:t>
      </w:r>
    </w:p>
    <w:p w:rsidR="00C000BD" w:rsidRPr="00400170" w:rsidRDefault="00C000BD" w:rsidP="00852C98">
      <w:pPr>
        <w:ind w:firstLine="720"/>
        <w:rPr>
          <w:b/>
        </w:rPr>
      </w:pPr>
      <w:r>
        <w:rPr>
          <w:szCs w:val="26"/>
        </w:rPr>
        <w:t>Minn. Stat. § 604.101 (2012) exhaustively states the economic-loss doctrine in Minnesota and abrogates the common-law economic-loss doctrine.</w:t>
      </w:r>
    </w:p>
    <w:p w:rsidR="00812BFB" w:rsidRDefault="00812BFB" w:rsidP="00852C98">
      <w:pPr>
        <w:suppressAutoHyphens w:val="0"/>
        <w:autoSpaceDE w:val="0"/>
        <w:autoSpaceDN w:val="0"/>
        <w:adjustRightInd w:val="0"/>
        <w:rPr>
          <w:b/>
          <w:i/>
          <w:color w:val="000000"/>
          <w:szCs w:val="26"/>
        </w:rPr>
      </w:pPr>
    </w:p>
    <w:p w:rsidR="00812BFB" w:rsidRDefault="00812BFB" w:rsidP="00852C98">
      <w:pPr>
        <w:suppressAutoHyphens w:val="0"/>
        <w:autoSpaceDE w:val="0"/>
        <w:autoSpaceDN w:val="0"/>
        <w:adjustRightInd w:val="0"/>
        <w:rPr>
          <w:b/>
          <w:color w:val="000000"/>
          <w:szCs w:val="26"/>
        </w:rPr>
      </w:pPr>
      <w:r>
        <w:rPr>
          <w:b/>
          <w:i/>
          <w:color w:val="000000"/>
          <w:szCs w:val="26"/>
        </w:rPr>
        <w:t>Pfeiffer ex rel. Pfeiffer v. Allina Health Sys</w:t>
      </w:r>
      <w:r w:rsidR="00FC6F22">
        <w:rPr>
          <w:b/>
          <w:i/>
          <w:color w:val="000000"/>
          <w:szCs w:val="26"/>
        </w:rPr>
        <w:t>.</w:t>
      </w:r>
      <w:r>
        <w:rPr>
          <w:b/>
          <w:color w:val="000000"/>
          <w:szCs w:val="26"/>
        </w:rPr>
        <w:t>, 851 N.W.2d 626 (Minn. App. July 21, 2014)</w:t>
      </w:r>
      <w:r w:rsidR="00495EA7">
        <w:rPr>
          <w:b/>
          <w:color w:val="000000"/>
          <w:szCs w:val="26"/>
        </w:rPr>
        <w:t xml:space="preserve">, </w:t>
      </w:r>
      <w:r w:rsidR="00495EA7">
        <w:rPr>
          <w:b/>
          <w:i/>
          <w:color w:val="000000"/>
          <w:szCs w:val="26"/>
        </w:rPr>
        <w:t>review denied</w:t>
      </w:r>
      <w:r w:rsidR="00495EA7">
        <w:rPr>
          <w:b/>
          <w:color w:val="000000"/>
          <w:szCs w:val="26"/>
        </w:rPr>
        <w:t xml:space="preserve"> (Minn. Oct. 14, 2014) </w:t>
      </w:r>
      <w:r>
        <w:rPr>
          <w:b/>
          <w:color w:val="000000"/>
          <w:szCs w:val="26"/>
        </w:rPr>
        <w:t xml:space="preserve">(A13-1919).  </w:t>
      </w:r>
    </w:p>
    <w:p w:rsidR="00812BFB" w:rsidRPr="00AC18FE" w:rsidRDefault="00812BFB" w:rsidP="00852C98">
      <w:pPr>
        <w:suppressAutoHyphens w:val="0"/>
        <w:autoSpaceDE w:val="0"/>
        <w:autoSpaceDN w:val="0"/>
        <w:adjustRightInd w:val="0"/>
        <w:ind w:firstLine="720"/>
        <w:rPr>
          <w:b/>
          <w:color w:val="000000"/>
          <w:szCs w:val="26"/>
        </w:rPr>
      </w:pPr>
      <w:r>
        <w:rPr>
          <w:szCs w:val="26"/>
        </w:rPr>
        <w:t>A curative expert affidavit filed by a medical-malpractice plaintiff under the safe-harbor provision of Minnesota Statute § 145.682, subd. 6(c) (2012) is not subject to the filing deadlines detailed in general rule of practice 115.03.</w:t>
      </w:r>
    </w:p>
    <w:p w:rsidR="00C000BD" w:rsidRDefault="00C000BD" w:rsidP="00852C98">
      <w:pPr>
        <w:rPr>
          <w:szCs w:val="26"/>
        </w:rPr>
      </w:pPr>
    </w:p>
    <w:p w:rsidR="00423FBA" w:rsidRPr="00423FBA" w:rsidRDefault="00423FBA" w:rsidP="00852C98">
      <w:pPr>
        <w:rPr>
          <w:b/>
          <w:szCs w:val="26"/>
        </w:rPr>
      </w:pPr>
      <w:r w:rsidRPr="00423FBA">
        <w:rPr>
          <w:b/>
          <w:i/>
          <w:szCs w:val="26"/>
        </w:rPr>
        <w:t>Shariss v. City of Bloomington</w:t>
      </w:r>
      <w:r w:rsidR="006D51F9">
        <w:rPr>
          <w:b/>
          <w:szCs w:val="26"/>
        </w:rPr>
        <w:t>, 852 N.W.2d 278</w:t>
      </w:r>
      <w:r>
        <w:rPr>
          <w:b/>
          <w:szCs w:val="26"/>
        </w:rPr>
        <w:t xml:space="preserve"> (Minn. App. Aug. 18, 2014) (A13-2293).  </w:t>
      </w:r>
    </w:p>
    <w:p w:rsidR="00423FBA" w:rsidRPr="00423FBA" w:rsidRDefault="00423FBA" w:rsidP="00852C98">
      <w:pPr>
        <w:rPr>
          <w:b/>
          <w:szCs w:val="26"/>
        </w:rPr>
      </w:pPr>
      <w:r>
        <w:rPr>
          <w:color w:val="000000"/>
          <w:sz w:val="24"/>
          <w:szCs w:val="24"/>
        </w:rPr>
        <w:tab/>
      </w:r>
      <w:r w:rsidRPr="00423FBA">
        <w:rPr>
          <w:color w:val="000000"/>
          <w:szCs w:val="26"/>
        </w:rPr>
        <w:t>A snowplow driver’s decision to drive his snowplow in reverse, when not actively engaged in snow-removal operations, involves the execution of a ministerial duty that is not protected by common-law official immunity or vicarious official immunity</w:t>
      </w:r>
      <w:r w:rsidR="00495EA7">
        <w:rPr>
          <w:color w:val="000000"/>
          <w:szCs w:val="26"/>
        </w:rPr>
        <w:t>.</w:t>
      </w:r>
    </w:p>
    <w:p w:rsidR="00C000BD" w:rsidRDefault="00C000BD" w:rsidP="00852C98">
      <w:pPr>
        <w:contextualSpacing/>
        <w:rPr>
          <w:b/>
          <w:u w:val="single"/>
        </w:rPr>
      </w:pPr>
    </w:p>
    <w:p w:rsidR="00AB60E0" w:rsidRDefault="00AB60E0" w:rsidP="00852C98">
      <w:pPr>
        <w:contextualSpacing/>
        <w:rPr>
          <w:b/>
          <w:u w:val="single"/>
        </w:rPr>
      </w:pPr>
    </w:p>
    <w:p w:rsidR="00C000BD" w:rsidRPr="00B00726" w:rsidRDefault="00C000BD" w:rsidP="00852C98">
      <w:pPr>
        <w:contextualSpacing/>
        <w:rPr>
          <w:szCs w:val="26"/>
        </w:rPr>
      </w:pPr>
      <w:r>
        <w:rPr>
          <w:b/>
          <w:u w:val="single"/>
        </w:rPr>
        <w:t>Unemployment Benefits</w:t>
      </w:r>
    </w:p>
    <w:p w:rsidR="00201BF4" w:rsidRDefault="00201BF4" w:rsidP="00852C98">
      <w:pPr>
        <w:rPr>
          <w:szCs w:val="26"/>
        </w:rPr>
      </w:pPr>
    </w:p>
    <w:p w:rsidR="00201BF4" w:rsidRDefault="00201BF4" w:rsidP="00852C98">
      <w:pPr>
        <w:tabs>
          <w:tab w:val="left" w:pos="720"/>
          <w:tab w:val="left" w:pos="1440"/>
          <w:tab w:val="left" w:pos="2160"/>
        </w:tabs>
        <w:rPr>
          <w:b/>
        </w:rPr>
      </w:pPr>
      <w:r>
        <w:rPr>
          <w:b/>
          <w:i/>
        </w:rPr>
        <w:t>Rubin v. Winona State Univ.</w:t>
      </w:r>
      <w:r>
        <w:rPr>
          <w:b/>
        </w:rPr>
        <w:t>, 842 N.W.2d 469 (Minn. App. Feb. 10, 2014) (A13-0871).</w:t>
      </w:r>
    </w:p>
    <w:p w:rsidR="00201BF4" w:rsidRDefault="00201BF4" w:rsidP="00852C98">
      <w:pPr>
        <w:pStyle w:val="Heading1"/>
        <w:keepNext w:val="0"/>
        <w:ind w:firstLine="720"/>
        <w:rPr>
          <w:b w:val="0"/>
          <w:szCs w:val="26"/>
        </w:rPr>
      </w:pPr>
      <w:r>
        <w:rPr>
          <w:b w:val="0"/>
          <w:szCs w:val="26"/>
        </w:rPr>
        <w:t xml:space="preserve">When the record contains evidence of an employee’s position description, a determination of whether the employee was in a </w:t>
      </w:r>
      <w:r w:rsidRPr="002B5E7D">
        <w:rPr>
          <w:b w:val="0"/>
          <w:szCs w:val="26"/>
        </w:rPr>
        <w:t>major pol</w:t>
      </w:r>
      <w:r>
        <w:rPr>
          <w:b w:val="0"/>
          <w:szCs w:val="26"/>
        </w:rPr>
        <w:t xml:space="preserve">icy-making or advisory position under </w:t>
      </w:r>
      <w:r w:rsidRPr="002B5E7D">
        <w:rPr>
          <w:b w:val="0"/>
          <w:szCs w:val="26"/>
        </w:rPr>
        <w:t>Minn. Sta</w:t>
      </w:r>
      <w:r>
        <w:rPr>
          <w:b w:val="0"/>
          <w:szCs w:val="26"/>
        </w:rPr>
        <w:t xml:space="preserve">t. § 268.035, subd. 20(15) (2012), </w:t>
      </w:r>
      <w:r w:rsidRPr="00FF5721">
        <w:rPr>
          <w:b w:val="0"/>
          <w:szCs w:val="26"/>
        </w:rPr>
        <w:t xml:space="preserve">must </w:t>
      </w:r>
      <w:r>
        <w:rPr>
          <w:b w:val="0"/>
          <w:szCs w:val="26"/>
        </w:rPr>
        <w:t>not be based solely</w:t>
      </w:r>
      <w:r w:rsidRPr="004B1529">
        <w:rPr>
          <w:b w:val="0"/>
          <w:szCs w:val="26"/>
        </w:rPr>
        <w:t xml:space="preserve"> </w:t>
      </w:r>
      <w:r>
        <w:rPr>
          <w:b w:val="0"/>
          <w:szCs w:val="26"/>
        </w:rPr>
        <w:t>on</w:t>
      </w:r>
      <w:r w:rsidRPr="004B1529">
        <w:rPr>
          <w:b w:val="0"/>
          <w:szCs w:val="26"/>
        </w:rPr>
        <w:t xml:space="preserve"> the employer’s </w:t>
      </w:r>
      <w:r>
        <w:rPr>
          <w:b w:val="0"/>
          <w:szCs w:val="26"/>
        </w:rPr>
        <w:t>designation of employee status in its internal plan for salary and employee benefits.</w:t>
      </w:r>
    </w:p>
    <w:p w:rsidR="00201BF4" w:rsidRPr="00201BF4" w:rsidRDefault="00201BF4" w:rsidP="00852C98"/>
    <w:p w:rsidR="00201BF4" w:rsidRDefault="00201BF4" w:rsidP="00852C98">
      <w:pPr>
        <w:rPr>
          <w:b/>
        </w:rPr>
      </w:pPr>
      <w:r>
        <w:rPr>
          <w:b/>
          <w:i/>
        </w:rPr>
        <w:lastRenderedPageBreak/>
        <w:t>Neumann v. Dep’t of Emp’t &amp; Econ. Dev.</w:t>
      </w:r>
      <w:r>
        <w:rPr>
          <w:b/>
        </w:rPr>
        <w:t xml:space="preserve">, </w:t>
      </w:r>
      <w:r w:rsidRPr="003670DF">
        <w:rPr>
          <w:b/>
        </w:rPr>
        <w:t>844 N.W.2d</w:t>
      </w:r>
      <w:r>
        <w:rPr>
          <w:b/>
        </w:rPr>
        <w:t xml:space="preserve"> 736 (Minn. App. Mar. 17, 2014) (A13-1007).</w:t>
      </w:r>
    </w:p>
    <w:p w:rsidR="00201BF4" w:rsidRDefault="00201BF4" w:rsidP="00852C98">
      <w:pPr>
        <w:pStyle w:val="Heading1"/>
        <w:keepNext w:val="0"/>
        <w:ind w:firstLine="720"/>
        <w:rPr>
          <w:b w:val="0"/>
          <w:szCs w:val="26"/>
        </w:rPr>
      </w:pPr>
      <w:r>
        <w:rPr>
          <w:b w:val="0"/>
          <w:szCs w:val="26"/>
        </w:rPr>
        <w:t xml:space="preserve">Minn. Stat. </w:t>
      </w:r>
      <w:r w:rsidRPr="005C61CB">
        <w:rPr>
          <w:b w:val="0"/>
          <w:szCs w:val="26"/>
        </w:rPr>
        <w:t>§</w:t>
      </w:r>
      <w:r>
        <w:rPr>
          <w:b w:val="0"/>
          <w:szCs w:val="26"/>
        </w:rPr>
        <w:t xml:space="preserve"> 268.085, subd. 16(a) (2012), requires that an unemployment law judge consider existing conditions in an applicant’s labor market area before determining that an applicant is ineligible for unemployment benefits because the applicant has failed to actively seek employment.</w:t>
      </w:r>
    </w:p>
    <w:p w:rsidR="00201BF4" w:rsidRPr="00201BF4" w:rsidRDefault="00201BF4" w:rsidP="00852C98"/>
    <w:p w:rsidR="00C000BD" w:rsidRDefault="00C000BD" w:rsidP="00852C98">
      <w:pPr>
        <w:rPr>
          <w:rFonts w:hAnsi="Symbol"/>
          <w:b/>
        </w:rPr>
      </w:pPr>
      <w:r>
        <w:rPr>
          <w:rFonts w:hAnsi="Symbol"/>
          <w:b/>
          <w:i/>
        </w:rPr>
        <w:t>Eley v. Southshore Invs., Inc.</w:t>
      </w:r>
      <w:r>
        <w:rPr>
          <w:rFonts w:hAnsi="Symbol"/>
          <w:b/>
        </w:rPr>
        <w:t xml:space="preserve">, </w:t>
      </w:r>
      <w:r w:rsidRPr="003670DF">
        <w:rPr>
          <w:rFonts w:hAnsi="Symbol"/>
          <w:b/>
        </w:rPr>
        <w:t>845 N.W.2d 216</w:t>
      </w:r>
      <w:r>
        <w:rPr>
          <w:rFonts w:hAnsi="Symbol"/>
          <w:b/>
        </w:rPr>
        <w:t xml:space="preserve"> (Minn. App. Apr. 7, 2014) (A13-1525).</w:t>
      </w:r>
    </w:p>
    <w:p w:rsidR="00C000BD" w:rsidRPr="006366FD" w:rsidRDefault="00C000BD" w:rsidP="00852C98">
      <w:pPr>
        <w:pStyle w:val="Heading1"/>
        <w:keepNext w:val="0"/>
        <w:ind w:firstLine="720"/>
        <w:rPr>
          <w:b w:val="0"/>
          <w:szCs w:val="26"/>
        </w:rPr>
      </w:pPr>
      <w:r>
        <w:rPr>
          <w:b w:val="0"/>
          <w:szCs w:val="26"/>
        </w:rPr>
        <w:t xml:space="preserve">An unemployment-law judge does not abuse her discretion by refusing to grant an additional evidentiary hearing where an unemployment-benefits applicant argues that she failed to participate at a scheduled evidentiary hearing because she was mistaken regarding the hearing date, but the record shows that the Minnesota Department of Employment and Economic Development timely sent notice of the hearing date by mail to the applicant at her address of record and that the hearing date was available on the applicant’s online unemployment-benefits account.  </w:t>
      </w:r>
    </w:p>
    <w:p w:rsidR="00C000BD" w:rsidRDefault="00C000BD" w:rsidP="00852C98">
      <w:pPr>
        <w:rPr>
          <w:szCs w:val="26"/>
        </w:rPr>
      </w:pPr>
    </w:p>
    <w:p w:rsidR="00C000BD" w:rsidRPr="00375063" w:rsidRDefault="00C000BD" w:rsidP="00852C98">
      <w:pPr>
        <w:rPr>
          <w:b/>
        </w:rPr>
      </w:pPr>
      <w:r>
        <w:rPr>
          <w:b/>
          <w:i/>
        </w:rPr>
        <w:t>Icenhower v. Total Auto., Inc.</w:t>
      </w:r>
      <w:r>
        <w:rPr>
          <w:b/>
        </w:rPr>
        <w:t xml:space="preserve">, </w:t>
      </w:r>
      <w:r w:rsidR="00BE19AC">
        <w:rPr>
          <w:b/>
        </w:rPr>
        <w:t>845</w:t>
      </w:r>
      <w:r w:rsidRPr="000C06F3">
        <w:rPr>
          <w:b/>
        </w:rPr>
        <w:t xml:space="preserve"> N.W.2d </w:t>
      </w:r>
      <w:r w:rsidR="00BE19AC">
        <w:rPr>
          <w:b/>
        </w:rPr>
        <w:t>849</w:t>
      </w:r>
      <w:r>
        <w:rPr>
          <w:b/>
        </w:rPr>
        <w:t xml:space="preserve"> (Minn. App. Apr. 28, 2014)</w:t>
      </w:r>
      <w:r w:rsidR="00BE19AC">
        <w:rPr>
          <w:b/>
        </w:rPr>
        <w:t xml:space="preserve">, </w:t>
      </w:r>
      <w:r w:rsidR="00BE19AC">
        <w:rPr>
          <w:b/>
          <w:i/>
        </w:rPr>
        <w:t xml:space="preserve">review denied </w:t>
      </w:r>
      <w:r w:rsidR="00BE19AC">
        <w:rPr>
          <w:b/>
        </w:rPr>
        <w:t>(July 15, 2014)</w:t>
      </w:r>
      <w:r>
        <w:rPr>
          <w:b/>
        </w:rPr>
        <w:t xml:space="preserve"> (A13-1287).</w:t>
      </w:r>
    </w:p>
    <w:p w:rsidR="00C000BD" w:rsidRPr="00375063" w:rsidRDefault="00C000BD" w:rsidP="00852C98">
      <w:pPr>
        <w:ind w:firstLine="720"/>
        <w:outlineLvl w:val="0"/>
        <w:rPr>
          <w:rFonts w:hAnsi="Symbol"/>
          <w:b/>
        </w:rPr>
      </w:pPr>
      <w:r>
        <w:rPr>
          <w:szCs w:val="26"/>
        </w:rPr>
        <w:t xml:space="preserve">An </w:t>
      </w:r>
      <w:r w:rsidRPr="00B33062">
        <w:rPr>
          <w:szCs w:val="26"/>
        </w:rPr>
        <w:t>unemployment-law judge</w:t>
      </w:r>
      <w:r>
        <w:rPr>
          <w:szCs w:val="26"/>
        </w:rPr>
        <w:t xml:space="preserve">’s decision to not issue a </w:t>
      </w:r>
      <w:r w:rsidRPr="00B33062">
        <w:rPr>
          <w:szCs w:val="26"/>
        </w:rPr>
        <w:t xml:space="preserve">subpoena under Minn. Stat. § 268.105, subd. 4 (2012), and Minn. R. 3310.2914, subp. 1 (2013), </w:t>
      </w:r>
      <w:r>
        <w:rPr>
          <w:szCs w:val="26"/>
        </w:rPr>
        <w:t xml:space="preserve">is reviewed for an abuse of </w:t>
      </w:r>
      <w:r w:rsidRPr="00B33062">
        <w:rPr>
          <w:szCs w:val="26"/>
        </w:rPr>
        <w:t>discretion.</w:t>
      </w:r>
    </w:p>
    <w:p w:rsidR="00C000BD" w:rsidRDefault="00C000BD" w:rsidP="00852C98">
      <w:pPr>
        <w:outlineLvl w:val="3"/>
        <w:rPr>
          <w:b/>
          <w:bCs/>
          <w:i/>
          <w:szCs w:val="26"/>
        </w:rPr>
      </w:pPr>
    </w:p>
    <w:p w:rsidR="00C000BD" w:rsidRDefault="00C000BD" w:rsidP="00852C98">
      <w:pPr>
        <w:rPr>
          <w:b/>
          <w:i/>
          <w:szCs w:val="26"/>
        </w:rPr>
      </w:pPr>
    </w:p>
    <w:p w:rsidR="00C000BD" w:rsidRDefault="00C000BD" w:rsidP="00852C98">
      <w:pPr>
        <w:rPr>
          <w:b/>
          <w:i/>
          <w:szCs w:val="26"/>
        </w:rPr>
      </w:pPr>
    </w:p>
    <w:p w:rsidR="00C000BD" w:rsidRDefault="00C000BD" w:rsidP="008F1B68">
      <w:pPr>
        <w:suppressAutoHyphens w:val="0"/>
        <w:rPr>
          <w:b/>
          <w:sz w:val="28"/>
          <w:szCs w:val="28"/>
        </w:rPr>
      </w:pPr>
      <w:r>
        <w:rPr>
          <w:b/>
          <w:sz w:val="28"/>
          <w:szCs w:val="28"/>
        </w:rPr>
        <w:br w:type="page"/>
      </w:r>
    </w:p>
    <w:p w:rsidR="00C000BD" w:rsidRPr="00E0265D" w:rsidRDefault="00C000BD" w:rsidP="00C000BD">
      <w:pPr>
        <w:suppressAutoHyphens w:val="0"/>
        <w:jc w:val="center"/>
        <w:rPr>
          <w:b/>
          <w:sz w:val="28"/>
          <w:szCs w:val="28"/>
        </w:rPr>
      </w:pPr>
      <w:r w:rsidRPr="00E0265D">
        <w:rPr>
          <w:b/>
          <w:sz w:val="28"/>
          <w:szCs w:val="28"/>
        </w:rPr>
        <w:lastRenderedPageBreak/>
        <w:t>PART II – CRIMINAL CASES AND CASES ON RELATED SUBJECTS</w:t>
      </w:r>
    </w:p>
    <w:p w:rsidR="00C000BD" w:rsidRDefault="00C000BD" w:rsidP="00C000BD">
      <w:pPr>
        <w:suppressAutoHyphens w:val="0"/>
        <w:rPr>
          <w:b/>
        </w:rPr>
      </w:pPr>
    </w:p>
    <w:p w:rsidR="00C000BD" w:rsidRDefault="00C000BD" w:rsidP="00C000BD">
      <w:pPr>
        <w:suppressAutoHyphens w:val="0"/>
        <w:rPr>
          <w:b/>
        </w:rPr>
      </w:pPr>
    </w:p>
    <w:p w:rsidR="00C000BD" w:rsidRDefault="00C000BD" w:rsidP="008F1B68">
      <w:pPr>
        <w:rPr>
          <w:b/>
          <w:szCs w:val="26"/>
          <w:u w:val="single"/>
        </w:rPr>
      </w:pPr>
      <w:r>
        <w:rPr>
          <w:b/>
          <w:szCs w:val="26"/>
          <w:u w:val="single"/>
        </w:rPr>
        <w:t>Appellate Procedure &amp; Review</w:t>
      </w:r>
    </w:p>
    <w:p w:rsidR="00C000BD" w:rsidRDefault="00C000BD" w:rsidP="008F1B68">
      <w:pPr>
        <w:rPr>
          <w:b/>
          <w:szCs w:val="26"/>
          <w:u w:val="single"/>
        </w:rPr>
      </w:pPr>
    </w:p>
    <w:p w:rsidR="00C000BD" w:rsidRPr="00CC71D9" w:rsidRDefault="00C000BD" w:rsidP="008F1B68">
      <w:pPr>
        <w:tabs>
          <w:tab w:val="left" w:pos="720"/>
          <w:tab w:val="left" w:pos="1440"/>
          <w:tab w:val="left" w:pos="2160"/>
        </w:tabs>
      </w:pPr>
      <w:r w:rsidRPr="00CC71D9">
        <w:rPr>
          <w:b/>
          <w:i/>
        </w:rPr>
        <w:t>State v. McKinney</w:t>
      </w:r>
      <w:r w:rsidRPr="00CC71D9">
        <w:rPr>
          <w:b/>
        </w:rPr>
        <w:t xml:space="preserve">, </w:t>
      </w:r>
      <w:r>
        <w:rPr>
          <w:b/>
        </w:rPr>
        <w:t>840</w:t>
      </w:r>
      <w:r w:rsidRPr="00CC71D9">
        <w:rPr>
          <w:b/>
        </w:rPr>
        <w:t xml:space="preserve"> N.W.2d </w:t>
      </w:r>
      <w:r>
        <w:rPr>
          <w:b/>
        </w:rPr>
        <w:t>429</w:t>
      </w:r>
      <w:r w:rsidRPr="00CC71D9">
        <w:rPr>
          <w:b/>
        </w:rPr>
        <w:t xml:space="preserve"> (Minn. App. Dec. 9, 2013) (A13-1720</w:t>
      </w:r>
      <w:r>
        <w:rPr>
          <w:b/>
        </w:rPr>
        <w:t>).</w:t>
      </w:r>
    </w:p>
    <w:p w:rsidR="00C000BD" w:rsidRPr="000E2ABD" w:rsidRDefault="00C000BD" w:rsidP="008F1B68">
      <w:pPr>
        <w:tabs>
          <w:tab w:val="left" w:pos="720"/>
          <w:tab w:val="left" w:pos="1440"/>
          <w:tab w:val="left" w:pos="2160"/>
        </w:tabs>
      </w:pPr>
      <w:r w:rsidRPr="00CC71D9">
        <w:rPr>
          <w:szCs w:val="26"/>
        </w:rPr>
        <w:tab/>
        <w:t>If the state files a sentencing appeal pursuant to rule 28.05 of the Minnesota Rules of Criminal Procedure, the state’s failure to serve the notice of appeal on the state public defender’s office in a timely manner requires dismissal of the appeal.</w:t>
      </w:r>
    </w:p>
    <w:p w:rsidR="00C000BD" w:rsidRPr="00756D04" w:rsidRDefault="00C000BD" w:rsidP="008F1B68">
      <w:pPr>
        <w:rPr>
          <w:b/>
          <w:szCs w:val="26"/>
        </w:rPr>
      </w:pPr>
    </w:p>
    <w:p w:rsidR="00C000BD" w:rsidRDefault="00C000BD" w:rsidP="008F1B68">
      <w:pPr>
        <w:rPr>
          <w:b/>
          <w:szCs w:val="26"/>
          <w:u w:val="single"/>
        </w:rPr>
      </w:pPr>
    </w:p>
    <w:p w:rsidR="00C000BD" w:rsidRDefault="00C000BD" w:rsidP="008F1B68">
      <w:pPr>
        <w:rPr>
          <w:b/>
          <w:szCs w:val="26"/>
          <w:u w:val="single"/>
        </w:rPr>
      </w:pPr>
      <w:r>
        <w:rPr>
          <w:b/>
          <w:szCs w:val="26"/>
          <w:u w:val="single"/>
        </w:rPr>
        <w:t>Constitutional Law</w:t>
      </w:r>
    </w:p>
    <w:p w:rsidR="00C000BD" w:rsidRDefault="00C000BD" w:rsidP="008F1B68">
      <w:pPr>
        <w:outlineLvl w:val="3"/>
        <w:rPr>
          <w:b/>
          <w:bCs/>
          <w:i/>
          <w:szCs w:val="26"/>
        </w:rPr>
      </w:pPr>
    </w:p>
    <w:p w:rsidR="00C000BD" w:rsidRDefault="00C000BD" w:rsidP="008F1B68">
      <w:pPr>
        <w:tabs>
          <w:tab w:val="left" w:pos="720"/>
          <w:tab w:val="left" w:pos="1440"/>
          <w:tab w:val="left" w:pos="2160"/>
        </w:tabs>
      </w:pPr>
      <w:r>
        <w:rPr>
          <w:b/>
          <w:i/>
        </w:rPr>
        <w:t>State v. Tayari-Garrett</w:t>
      </w:r>
      <w:r>
        <w:rPr>
          <w:b/>
        </w:rPr>
        <w:t xml:space="preserve">, 841 N.W.2d 644 (Minn. App. Jan. 13, 2014), </w:t>
      </w:r>
      <w:r w:rsidRPr="00FC13F9">
        <w:rPr>
          <w:b/>
          <w:i/>
        </w:rPr>
        <w:t xml:space="preserve">review denied </w:t>
      </w:r>
      <w:r w:rsidRPr="00FC13F9">
        <w:rPr>
          <w:b/>
        </w:rPr>
        <w:t>(Minn. Mar. 26, 2014)</w:t>
      </w:r>
      <w:r>
        <w:rPr>
          <w:b/>
        </w:rPr>
        <w:t xml:space="preserve"> (A12-1915).</w:t>
      </w:r>
    </w:p>
    <w:p w:rsidR="00C000BD" w:rsidRDefault="00C000BD" w:rsidP="008F1B68">
      <w:pPr>
        <w:tabs>
          <w:tab w:val="left" w:pos="720"/>
          <w:tab w:val="left" w:pos="1440"/>
          <w:tab w:val="left" w:pos="2160"/>
        </w:tabs>
      </w:pPr>
      <w:r>
        <w:rPr>
          <w:szCs w:val="26"/>
        </w:rPr>
        <w:tab/>
        <w:t>A p</w:t>
      </w:r>
      <w:r>
        <w:t>ro se party who</w:t>
      </w:r>
      <w:r w:rsidRPr="00E37675">
        <w:t xml:space="preserve"> </w:t>
      </w:r>
      <w:r>
        <w:t>repeatedly</w:t>
      </w:r>
      <w:r w:rsidRPr="00E37675">
        <w:t xml:space="preserve"> testifie</w:t>
      </w:r>
      <w:r>
        <w:t>s</w:t>
      </w:r>
      <w:r w:rsidRPr="00E37675">
        <w:t xml:space="preserve"> while not un</w:t>
      </w:r>
      <w:r>
        <w:t>der oath during her opening statement, closing argument</w:t>
      </w:r>
      <w:r w:rsidRPr="00E37675">
        <w:t>, and examination of witnesses</w:t>
      </w:r>
      <w:r>
        <w:t>, waives her Fifth Amendment protection.  In such a case, t</w:t>
      </w:r>
      <w:r w:rsidRPr="00E37675">
        <w:t>he prosecutor d</w:t>
      </w:r>
      <w:r>
        <w:t>oes</w:t>
      </w:r>
      <w:r w:rsidRPr="00E37675">
        <w:t xml:space="preserve"> not violate </w:t>
      </w:r>
      <w:r>
        <w:t>appellant’s</w:t>
      </w:r>
      <w:r w:rsidRPr="00E37675">
        <w:t xml:space="preserve"> </w:t>
      </w:r>
      <w:r>
        <w:t>right to remain silent</w:t>
      </w:r>
      <w:r w:rsidRPr="00E37675">
        <w:t xml:space="preserve"> </w:t>
      </w:r>
      <w:r>
        <w:t xml:space="preserve">by reminding the jury that the pro se party’s </w:t>
      </w:r>
      <w:r w:rsidRPr="00E37675">
        <w:t>unsworn testimony</w:t>
      </w:r>
      <w:r>
        <w:t xml:space="preserve"> is not evidence</w:t>
      </w:r>
      <w:r w:rsidRPr="00E37675">
        <w:t>.</w:t>
      </w:r>
    </w:p>
    <w:p w:rsidR="00C000BD" w:rsidRDefault="00C000BD" w:rsidP="00AA1609">
      <w:pPr>
        <w:outlineLvl w:val="0"/>
        <w:rPr>
          <w:szCs w:val="26"/>
        </w:rPr>
      </w:pPr>
    </w:p>
    <w:p w:rsidR="00C000BD" w:rsidRPr="001B1811" w:rsidRDefault="00C000BD" w:rsidP="00AA1609">
      <w:pPr>
        <w:outlineLvl w:val="0"/>
        <w:rPr>
          <w:szCs w:val="26"/>
        </w:rPr>
      </w:pPr>
    </w:p>
    <w:p w:rsidR="00C000BD" w:rsidRDefault="00C000BD" w:rsidP="008F1B68">
      <w:pPr>
        <w:rPr>
          <w:b/>
          <w:szCs w:val="26"/>
          <w:u w:val="single"/>
        </w:rPr>
      </w:pPr>
      <w:r>
        <w:rPr>
          <w:b/>
          <w:szCs w:val="26"/>
          <w:u w:val="single"/>
        </w:rPr>
        <w:t>DWI &amp; Implied Consent</w:t>
      </w:r>
    </w:p>
    <w:p w:rsidR="00C000BD" w:rsidRDefault="00C000BD" w:rsidP="008F1B68">
      <w:pPr>
        <w:rPr>
          <w:b/>
          <w:szCs w:val="26"/>
          <w:u w:val="single"/>
        </w:rPr>
      </w:pPr>
    </w:p>
    <w:p w:rsidR="00C000BD" w:rsidRPr="00400170" w:rsidRDefault="00C000BD" w:rsidP="008F1B68">
      <w:pPr>
        <w:rPr>
          <w:b/>
        </w:rPr>
      </w:pPr>
      <w:r w:rsidRPr="00400170">
        <w:rPr>
          <w:b/>
          <w:i/>
        </w:rPr>
        <w:t>State v. Bernard</w:t>
      </w:r>
      <w:r>
        <w:rPr>
          <w:b/>
        </w:rPr>
        <w:t xml:space="preserve">, 844 N.W.2d 41 (Minn. App. Mar. 17, 2014), </w:t>
      </w:r>
      <w:r w:rsidRPr="00D52264">
        <w:rPr>
          <w:b/>
          <w:i/>
        </w:rPr>
        <w:t xml:space="preserve">review granted </w:t>
      </w:r>
      <w:r w:rsidRPr="00D52264">
        <w:rPr>
          <w:b/>
        </w:rPr>
        <w:t>(Minn. May 20, 2014)</w:t>
      </w:r>
      <w:r>
        <w:rPr>
          <w:b/>
        </w:rPr>
        <w:t xml:space="preserve"> (A13-1245).</w:t>
      </w:r>
    </w:p>
    <w:p w:rsidR="00C000BD" w:rsidRPr="00400170" w:rsidRDefault="00C000BD" w:rsidP="008F1B68">
      <w:pPr>
        <w:pStyle w:val="Heading1"/>
        <w:keepNext w:val="0"/>
        <w:ind w:firstLine="720"/>
        <w:rPr>
          <w:b w:val="0"/>
          <w:szCs w:val="26"/>
        </w:rPr>
      </w:pPr>
      <w:r>
        <w:rPr>
          <w:b w:val="0"/>
          <w:szCs w:val="26"/>
        </w:rPr>
        <w:t xml:space="preserve">The Fourth Amendment does not prohibit the state from criminalizing a suspected drunk driver’s refusal to submit to a breath test for alcohol content when the circumstances established a basis for the officer to have alternatively pursued a constitutionally reasonable nonconsensual test by securing and executing a warrant.  </w:t>
      </w:r>
    </w:p>
    <w:p w:rsidR="00C000BD" w:rsidRDefault="00C000BD" w:rsidP="008F1B68">
      <w:pPr>
        <w:rPr>
          <w:szCs w:val="26"/>
        </w:rPr>
      </w:pPr>
    </w:p>
    <w:p w:rsidR="0099213E" w:rsidRPr="0099213E" w:rsidRDefault="0099213E" w:rsidP="008F1B68">
      <w:pPr>
        <w:rPr>
          <w:b/>
          <w:szCs w:val="26"/>
        </w:rPr>
      </w:pPr>
      <w:r>
        <w:rPr>
          <w:b/>
          <w:i/>
          <w:szCs w:val="26"/>
        </w:rPr>
        <w:t>State v. St. John</w:t>
      </w:r>
      <w:r>
        <w:rPr>
          <w:b/>
          <w:szCs w:val="26"/>
        </w:rPr>
        <w:t xml:space="preserve">, 847 N.W.2d 704 (Minn. App. May 19, 2014) (A13-1175).  </w:t>
      </w:r>
    </w:p>
    <w:p w:rsidR="0099213E" w:rsidRPr="0099213E" w:rsidRDefault="0099213E" w:rsidP="008F1B68">
      <w:pPr>
        <w:suppressAutoHyphens w:val="0"/>
        <w:autoSpaceDE w:val="0"/>
        <w:autoSpaceDN w:val="0"/>
        <w:adjustRightInd w:val="0"/>
        <w:ind w:firstLine="720"/>
        <w:rPr>
          <w:color w:val="000000"/>
          <w:szCs w:val="26"/>
        </w:rPr>
      </w:pPr>
      <w:r>
        <w:rPr>
          <w:color w:val="000000"/>
          <w:szCs w:val="26"/>
        </w:rPr>
        <w:t>1.</w:t>
      </w:r>
      <w:r>
        <w:rPr>
          <w:color w:val="000000"/>
          <w:szCs w:val="26"/>
        </w:rPr>
        <w:tab/>
      </w:r>
      <w:r w:rsidRPr="0099213E">
        <w:rPr>
          <w:color w:val="000000"/>
          <w:szCs w:val="26"/>
        </w:rPr>
        <w:t xml:space="preserve">Under the Minnesota Impaired Driving Code, third-degree driving while impaired (under the influence) is not an included offense of second-degree driving while impaired (refusal to submit to chemical test). </w:t>
      </w:r>
    </w:p>
    <w:p w:rsidR="0099213E" w:rsidRPr="00145283" w:rsidRDefault="0099213E" w:rsidP="008F1B68">
      <w:pPr>
        <w:suppressAutoHyphens w:val="0"/>
        <w:autoSpaceDE w:val="0"/>
        <w:autoSpaceDN w:val="0"/>
        <w:adjustRightInd w:val="0"/>
        <w:ind w:firstLine="720"/>
        <w:rPr>
          <w:color w:val="000000"/>
          <w:szCs w:val="26"/>
        </w:rPr>
      </w:pPr>
      <w:r>
        <w:rPr>
          <w:color w:val="000000"/>
          <w:szCs w:val="26"/>
        </w:rPr>
        <w:t>2.</w:t>
      </w:r>
      <w:r>
        <w:rPr>
          <w:color w:val="000000"/>
          <w:szCs w:val="26"/>
        </w:rPr>
        <w:tab/>
      </w:r>
      <w:r w:rsidRPr="0099213E">
        <w:rPr>
          <w:color w:val="000000"/>
          <w:szCs w:val="26"/>
        </w:rPr>
        <w:t xml:space="preserve">For sentencing purposes, third-degree driving while impaired (under the influence) is a more serious offense than second-degree driving while impaired (refusal to submit to chemical test). </w:t>
      </w:r>
    </w:p>
    <w:p w:rsidR="00C000BD" w:rsidRDefault="00C000BD" w:rsidP="008F1B68">
      <w:pPr>
        <w:rPr>
          <w:b/>
          <w:szCs w:val="26"/>
          <w:u w:val="single"/>
        </w:rPr>
      </w:pPr>
    </w:p>
    <w:p w:rsidR="00AA1609" w:rsidRDefault="00AA1609" w:rsidP="008F1B68">
      <w:pPr>
        <w:rPr>
          <w:b/>
          <w:szCs w:val="26"/>
          <w:u w:val="single"/>
        </w:rPr>
      </w:pPr>
    </w:p>
    <w:p w:rsidR="00AA1609" w:rsidRDefault="00AA1609" w:rsidP="008F1B68">
      <w:pPr>
        <w:rPr>
          <w:b/>
          <w:szCs w:val="26"/>
          <w:u w:val="single"/>
        </w:rPr>
      </w:pPr>
    </w:p>
    <w:p w:rsidR="00AA1609" w:rsidRDefault="00AA1609" w:rsidP="008F1B68">
      <w:pPr>
        <w:rPr>
          <w:b/>
          <w:szCs w:val="26"/>
          <w:u w:val="single"/>
        </w:rPr>
      </w:pPr>
    </w:p>
    <w:p w:rsidR="00CC06E1" w:rsidRPr="00A10668" w:rsidRDefault="00CC06E1" w:rsidP="008F1B68">
      <w:pPr>
        <w:suppressAutoHyphens w:val="0"/>
        <w:rPr>
          <w:b/>
        </w:rPr>
      </w:pPr>
      <w:r>
        <w:rPr>
          <w:b/>
          <w:i/>
        </w:rPr>
        <w:lastRenderedPageBreak/>
        <w:t>State v. Miller</w:t>
      </w:r>
      <w:r>
        <w:rPr>
          <w:b/>
        </w:rPr>
        <w:t xml:space="preserve">, 849 N.W.2d 94 (Minn. App. June 30, 2014) (A13-1689).  </w:t>
      </w:r>
    </w:p>
    <w:p w:rsidR="00CC06E1" w:rsidRDefault="00CC06E1" w:rsidP="008F1B68">
      <w:pPr>
        <w:suppressAutoHyphens w:val="0"/>
        <w:ind w:firstLine="720"/>
        <w:rPr>
          <w:color w:val="000000"/>
          <w:szCs w:val="26"/>
        </w:rPr>
      </w:pPr>
      <w:r>
        <w:rPr>
          <w:color w:val="000000"/>
          <w:szCs w:val="26"/>
        </w:rPr>
        <w:t>(See p</w:t>
      </w:r>
      <w:r w:rsidR="00852C98">
        <w:rPr>
          <w:color w:val="000000"/>
          <w:szCs w:val="26"/>
        </w:rPr>
        <w:t>age</w:t>
      </w:r>
      <w:r w:rsidR="00A4430F">
        <w:rPr>
          <w:color w:val="000000"/>
          <w:szCs w:val="26"/>
        </w:rPr>
        <w:t xml:space="preserve"> 18</w:t>
      </w:r>
      <w:r>
        <w:rPr>
          <w:color w:val="000000"/>
          <w:szCs w:val="26"/>
        </w:rPr>
        <w:t xml:space="preserve"> for additional syllabus point)</w:t>
      </w:r>
    </w:p>
    <w:p w:rsidR="00CC06E1" w:rsidRPr="00A10668" w:rsidRDefault="007B5264" w:rsidP="008F1B68">
      <w:pPr>
        <w:suppressAutoHyphens w:val="0"/>
        <w:ind w:firstLine="720"/>
        <w:rPr>
          <w:b/>
        </w:rPr>
      </w:pPr>
      <w:r>
        <w:rPr>
          <w:color w:val="000000"/>
          <w:szCs w:val="26"/>
        </w:rPr>
        <w:t>2.</w:t>
      </w:r>
      <w:r w:rsidR="00CC06E1">
        <w:rPr>
          <w:color w:val="000000"/>
          <w:szCs w:val="26"/>
        </w:rPr>
        <w:tab/>
      </w:r>
      <w:r w:rsidR="00CC06E1" w:rsidRPr="00A10668">
        <w:rPr>
          <w:color w:val="000000"/>
          <w:szCs w:val="26"/>
        </w:rPr>
        <w:t>Law-of-the-case doctrine does not operate to allow a decision from a civil implied-consent case to govern issues in a criminal matter arising from the same set of circumstances.</w:t>
      </w:r>
    </w:p>
    <w:p w:rsidR="00CC06E1" w:rsidRDefault="00CC06E1" w:rsidP="008F1B68">
      <w:pPr>
        <w:rPr>
          <w:b/>
          <w:szCs w:val="26"/>
          <w:u w:val="single"/>
        </w:rPr>
      </w:pPr>
    </w:p>
    <w:p w:rsidR="00FE3E9B" w:rsidRPr="00FE3E9B" w:rsidRDefault="001545AD" w:rsidP="008F1B68">
      <w:pPr>
        <w:rPr>
          <w:b/>
          <w:szCs w:val="26"/>
        </w:rPr>
      </w:pPr>
      <w:r>
        <w:rPr>
          <w:b/>
          <w:i/>
          <w:szCs w:val="26"/>
        </w:rPr>
        <w:t>Stevens v. Comm</w:t>
      </w:r>
      <w:r w:rsidR="002D2741">
        <w:rPr>
          <w:b/>
          <w:i/>
          <w:szCs w:val="26"/>
        </w:rPr>
        <w:t>’</w:t>
      </w:r>
      <w:r w:rsidR="0003668F">
        <w:rPr>
          <w:b/>
          <w:i/>
          <w:szCs w:val="26"/>
        </w:rPr>
        <w:t>r of Pub.</w:t>
      </w:r>
      <w:r>
        <w:rPr>
          <w:b/>
          <w:i/>
          <w:szCs w:val="26"/>
        </w:rPr>
        <w:t xml:space="preserve"> Safety</w:t>
      </w:r>
      <w:r>
        <w:rPr>
          <w:b/>
          <w:szCs w:val="26"/>
        </w:rPr>
        <w:t xml:space="preserve">, 850 N.W.2d 717 (Minn. App. July 14, 2014) (A13-1855).  </w:t>
      </w:r>
    </w:p>
    <w:p w:rsidR="00FE3E9B" w:rsidRPr="001545AD" w:rsidRDefault="00FE3E9B" w:rsidP="008F1B68">
      <w:pPr>
        <w:ind w:firstLine="720"/>
        <w:rPr>
          <w:b/>
          <w:szCs w:val="26"/>
        </w:rPr>
      </w:pPr>
      <w:r w:rsidRPr="00FE3E9B">
        <w:rPr>
          <w:color w:val="000000"/>
          <w:szCs w:val="26"/>
        </w:rPr>
        <w:t>Minnesota’s implied-consent statute does not violate the unconstitutional-conditions doctrine by authorizing the commissioner of public safety to revoke the driver’s license of a person who has been arrested for driving while impaired and has refused to submit to chemical testing.</w:t>
      </w:r>
    </w:p>
    <w:p w:rsidR="001545AD" w:rsidRDefault="001545AD" w:rsidP="008F1B68">
      <w:pPr>
        <w:rPr>
          <w:b/>
          <w:szCs w:val="26"/>
          <w:u w:val="single"/>
        </w:rPr>
      </w:pPr>
    </w:p>
    <w:p w:rsidR="00AA1609" w:rsidRDefault="00AA1609" w:rsidP="008F1B68">
      <w:pPr>
        <w:rPr>
          <w:b/>
          <w:szCs w:val="26"/>
          <w:u w:val="single"/>
        </w:rPr>
      </w:pPr>
    </w:p>
    <w:p w:rsidR="00C000BD" w:rsidRDefault="00C000BD" w:rsidP="008F1B68">
      <w:pPr>
        <w:suppressAutoHyphens w:val="0"/>
      </w:pPr>
      <w:r>
        <w:rPr>
          <w:b/>
          <w:u w:val="single"/>
        </w:rPr>
        <w:t>Evidence</w:t>
      </w:r>
    </w:p>
    <w:p w:rsidR="00C000BD" w:rsidRDefault="00C000BD" w:rsidP="008F1B68">
      <w:pPr>
        <w:outlineLvl w:val="3"/>
        <w:rPr>
          <w:szCs w:val="26"/>
        </w:rPr>
      </w:pPr>
    </w:p>
    <w:p w:rsidR="00C000BD" w:rsidRDefault="00C000BD" w:rsidP="008F1B68">
      <w:pPr>
        <w:tabs>
          <w:tab w:val="left" w:pos="720"/>
          <w:tab w:val="left" w:pos="1440"/>
          <w:tab w:val="left" w:pos="2160"/>
        </w:tabs>
        <w:rPr>
          <w:b/>
        </w:rPr>
      </w:pPr>
      <w:r>
        <w:rPr>
          <w:b/>
          <w:i/>
        </w:rPr>
        <w:t>State v. Beane</w:t>
      </w:r>
      <w:r>
        <w:rPr>
          <w:b/>
        </w:rPr>
        <w:t xml:space="preserve">, 840 N.W.2d 848 (Minn. App. Dec. 30, 2013), </w:t>
      </w:r>
      <w:r w:rsidRPr="00FC13F9">
        <w:rPr>
          <w:b/>
          <w:i/>
        </w:rPr>
        <w:t xml:space="preserve">review denied </w:t>
      </w:r>
      <w:r w:rsidRPr="00FC13F9">
        <w:rPr>
          <w:b/>
        </w:rPr>
        <w:t>(Minn. Mar. 18, 2014)</w:t>
      </w:r>
      <w:r>
        <w:rPr>
          <w:b/>
        </w:rPr>
        <w:t xml:space="preserve"> (A12-2222).  </w:t>
      </w:r>
    </w:p>
    <w:p w:rsidR="00C000BD" w:rsidRPr="00F87C42" w:rsidRDefault="00C000BD" w:rsidP="008F1B68">
      <w:pPr>
        <w:tabs>
          <w:tab w:val="left" w:pos="720"/>
          <w:tab w:val="left" w:pos="1440"/>
          <w:tab w:val="left" w:pos="2160"/>
        </w:tabs>
        <w:rPr>
          <w:b/>
        </w:rPr>
      </w:pPr>
      <w:r>
        <w:rPr>
          <w:szCs w:val="26"/>
        </w:rPr>
        <w:t xml:space="preserve">(See </w:t>
      </w:r>
      <w:r w:rsidRPr="006B64EC">
        <w:rPr>
          <w:szCs w:val="26"/>
        </w:rPr>
        <w:t xml:space="preserve">pages </w:t>
      </w:r>
      <w:r w:rsidR="000E001E">
        <w:rPr>
          <w:szCs w:val="26"/>
        </w:rPr>
        <w:t>20</w:t>
      </w:r>
      <w:r w:rsidRPr="006B64EC">
        <w:rPr>
          <w:szCs w:val="26"/>
        </w:rPr>
        <w:t xml:space="preserve"> and </w:t>
      </w:r>
      <w:r w:rsidR="000E001E">
        <w:rPr>
          <w:szCs w:val="26"/>
        </w:rPr>
        <w:t>24</w:t>
      </w:r>
      <w:r>
        <w:rPr>
          <w:szCs w:val="26"/>
        </w:rPr>
        <w:t xml:space="preserve"> for additional syllabus points for this case)</w:t>
      </w:r>
    </w:p>
    <w:p w:rsidR="00C000BD" w:rsidRDefault="00C000BD" w:rsidP="008F1B68">
      <w:r>
        <w:tab/>
        <w:t>2.</w:t>
      </w:r>
      <w:r>
        <w:tab/>
        <w:t>A district court’s decision to admit relationship evidence in a domestic-assault case is not reversible error when the appellant fails to establish that the admission of the evidence resulted in unfair prejudice.</w:t>
      </w:r>
    </w:p>
    <w:p w:rsidR="00C000BD" w:rsidRDefault="00C000BD" w:rsidP="008F1B68">
      <w:pPr>
        <w:outlineLvl w:val="3"/>
        <w:rPr>
          <w:szCs w:val="26"/>
        </w:rPr>
      </w:pPr>
    </w:p>
    <w:p w:rsidR="00C000BD" w:rsidRDefault="00C000BD" w:rsidP="008F1B68">
      <w:pPr>
        <w:rPr>
          <w:rFonts w:hAnsi="Symbol"/>
          <w:b/>
        </w:rPr>
      </w:pPr>
      <w:r>
        <w:rPr>
          <w:rFonts w:hAnsi="Symbol"/>
          <w:b/>
          <w:i/>
        </w:rPr>
        <w:t>State v. Wenthe</w:t>
      </w:r>
      <w:r>
        <w:rPr>
          <w:rFonts w:hAnsi="Symbol"/>
          <w:b/>
        </w:rPr>
        <w:t xml:space="preserve">, 845 </w:t>
      </w:r>
      <w:r w:rsidRPr="003670DF">
        <w:rPr>
          <w:rFonts w:hAnsi="Symbol"/>
          <w:b/>
        </w:rPr>
        <w:t>N.W.2d</w:t>
      </w:r>
      <w:r>
        <w:rPr>
          <w:rFonts w:hAnsi="Symbol"/>
          <w:b/>
        </w:rPr>
        <w:t xml:space="preserve"> 222 (Minn. App. Apr. 7, 2014), </w:t>
      </w:r>
      <w:r w:rsidR="002F170A">
        <w:rPr>
          <w:rFonts w:hAnsi="Symbol"/>
          <w:b/>
          <w:i/>
        </w:rPr>
        <w:t>review granted</w:t>
      </w:r>
      <w:r>
        <w:rPr>
          <w:rFonts w:hAnsi="Symbol"/>
          <w:b/>
          <w:i/>
        </w:rPr>
        <w:t xml:space="preserve"> </w:t>
      </w:r>
      <w:r>
        <w:rPr>
          <w:rFonts w:hAnsi="Symbol"/>
          <w:b/>
        </w:rPr>
        <w:t xml:space="preserve">(Minn. </w:t>
      </w:r>
      <w:r w:rsidR="002F170A">
        <w:rPr>
          <w:rFonts w:hAnsi="Symbol"/>
          <w:b/>
        </w:rPr>
        <w:t>June 25</w:t>
      </w:r>
      <w:r>
        <w:rPr>
          <w:rFonts w:hAnsi="Symbol"/>
          <w:b/>
        </w:rPr>
        <w:t>, 2014) (A12-0263).</w:t>
      </w:r>
    </w:p>
    <w:p w:rsidR="00C000BD" w:rsidRDefault="00C000BD" w:rsidP="008F1B68">
      <w:pPr>
        <w:rPr>
          <w:rFonts w:hAnsi="Symbol"/>
          <w:b/>
        </w:rPr>
      </w:pPr>
      <w:r>
        <w:rPr>
          <w:szCs w:val="26"/>
        </w:rPr>
        <w:t xml:space="preserve">(See </w:t>
      </w:r>
      <w:r w:rsidRPr="006B64EC">
        <w:rPr>
          <w:szCs w:val="26"/>
        </w:rPr>
        <w:t xml:space="preserve">page </w:t>
      </w:r>
      <w:r w:rsidR="000E001E">
        <w:rPr>
          <w:szCs w:val="26"/>
        </w:rPr>
        <w:t>24</w:t>
      </w:r>
      <w:r>
        <w:rPr>
          <w:szCs w:val="26"/>
        </w:rPr>
        <w:t xml:space="preserve"> for additional syllabus points for this case)</w:t>
      </w:r>
    </w:p>
    <w:p w:rsidR="00C000BD" w:rsidRDefault="00C000BD" w:rsidP="008F1B68">
      <w:r>
        <w:tab/>
        <w:t>3.</w:t>
      </w:r>
      <w:r>
        <w:tab/>
        <w:t xml:space="preserve">Evidence of an adult complainant’s sexual history may be admitted into evidence, despite rape-shield laws, when the state has opened the door by eliciting testimony from the complainant that portrays herself as sexually inexperienced.  </w:t>
      </w:r>
    </w:p>
    <w:p w:rsidR="00DF5412" w:rsidRDefault="00DF5412" w:rsidP="008F1B68"/>
    <w:p w:rsidR="004A4C6A" w:rsidRPr="004A4C6A" w:rsidRDefault="00DF5412" w:rsidP="008F1B68">
      <w:pPr>
        <w:rPr>
          <w:b/>
        </w:rPr>
      </w:pPr>
      <w:r>
        <w:rPr>
          <w:b/>
          <w:i/>
        </w:rPr>
        <w:t>State v. Griffin</w:t>
      </w:r>
      <w:r>
        <w:rPr>
          <w:b/>
        </w:rPr>
        <w:t xml:space="preserve">, 846 N.W.2d 93 (Minn. App. May 12, 2014), </w:t>
      </w:r>
      <w:r>
        <w:rPr>
          <w:b/>
          <w:i/>
        </w:rPr>
        <w:t>review denied</w:t>
      </w:r>
      <w:r>
        <w:rPr>
          <w:b/>
        </w:rPr>
        <w:t xml:space="preserve"> (Minn. Aug. 5, 2014) (A13-0400).  </w:t>
      </w:r>
    </w:p>
    <w:p w:rsidR="00F06F19" w:rsidRPr="00376184" w:rsidRDefault="00F06F19" w:rsidP="008F1B68">
      <w:pPr>
        <w:suppressAutoHyphens w:val="0"/>
        <w:autoSpaceDE w:val="0"/>
        <w:autoSpaceDN w:val="0"/>
        <w:adjustRightInd w:val="0"/>
        <w:rPr>
          <w:color w:val="000000"/>
          <w:szCs w:val="26"/>
        </w:rPr>
      </w:pPr>
      <w:r w:rsidRPr="00376184">
        <w:rPr>
          <w:color w:val="000000"/>
          <w:szCs w:val="26"/>
        </w:rPr>
        <w:t>(See page</w:t>
      </w:r>
      <w:r w:rsidR="00376184" w:rsidRPr="00376184">
        <w:rPr>
          <w:color w:val="000000"/>
          <w:szCs w:val="26"/>
        </w:rPr>
        <w:t xml:space="preserve"> 2</w:t>
      </w:r>
      <w:r w:rsidRPr="00376184">
        <w:rPr>
          <w:color w:val="000000"/>
          <w:szCs w:val="26"/>
        </w:rPr>
        <w:t xml:space="preserve"> for additional syllabus point for this case)</w:t>
      </w:r>
    </w:p>
    <w:p w:rsidR="004A4C6A" w:rsidRPr="004A4C6A" w:rsidRDefault="004A4C6A" w:rsidP="008F1B68">
      <w:pPr>
        <w:suppressAutoHyphens w:val="0"/>
        <w:autoSpaceDE w:val="0"/>
        <w:autoSpaceDN w:val="0"/>
        <w:adjustRightInd w:val="0"/>
        <w:ind w:firstLine="720"/>
        <w:rPr>
          <w:color w:val="000000"/>
          <w:szCs w:val="26"/>
        </w:rPr>
      </w:pPr>
      <w:r>
        <w:rPr>
          <w:color w:val="000000"/>
          <w:szCs w:val="26"/>
        </w:rPr>
        <w:t>1.</w:t>
      </w:r>
      <w:r>
        <w:rPr>
          <w:color w:val="000000"/>
          <w:szCs w:val="26"/>
        </w:rPr>
        <w:tab/>
      </w:r>
      <w:r w:rsidRPr="004A4C6A">
        <w:rPr>
          <w:color w:val="000000"/>
          <w:szCs w:val="26"/>
        </w:rPr>
        <w:t>A criminal defendant relying solely on statistical evidence to challenge the constitutionality of a jury panel’s composition as not having been drawn from a fair cross-section of the community must make at least a prima facie demonstration that the underrepresentation of a distinctive group is attributab</w:t>
      </w:r>
      <w:r w:rsidR="00F06F19">
        <w:rPr>
          <w:color w:val="000000"/>
          <w:szCs w:val="26"/>
        </w:rPr>
        <w:t xml:space="preserve">le to “systematic exclusion.” </w:t>
      </w:r>
    </w:p>
    <w:p w:rsidR="00C000BD" w:rsidRDefault="00C000BD" w:rsidP="008F1B68">
      <w:pPr>
        <w:outlineLvl w:val="3"/>
        <w:rPr>
          <w:szCs w:val="26"/>
        </w:rPr>
      </w:pPr>
    </w:p>
    <w:p w:rsidR="00AA1609" w:rsidRDefault="00AA1609" w:rsidP="008F1B68">
      <w:pPr>
        <w:outlineLvl w:val="3"/>
        <w:rPr>
          <w:szCs w:val="26"/>
        </w:rPr>
      </w:pPr>
    </w:p>
    <w:p w:rsidR="00AA1609" w:rsidRDefault="00AA1609" w:rsidP="008F1B68">
      <w:pPr>
        <w:outlineLvl w:val="3"/>
        <w:rPr>
          <w:szCs w:val="26"/>
        </w:rPr>
      </w:pPr>
    </w:p>
    <w:p w:rsidR="002D4595" w:rsidRPr="002D4595" w:rsidRDefault="002D4595" w:rsidP="008F1B68">
      <w:pPr>
        <w:outlineLvl w:val="3"/>
        <w:rPr>
          <w:b/>
          <w:szCs w:val="26"/>
        </w:rPr>
      </w:pPr>
      <w:r>
        <w:rPr>
          <w:b/>
          <w:i/>
          <w:szCs w:val="26"/>
        </w:rPr>
        <w:lastRenderedPageBreak/>
        <w:t>State v. Thiel</w:t>
      </w:r>
      <w:r>
        <w:rPr>
          <w:b/>
          <w:szCs w:val="26"/>
        </w:rPr>
        <w:t xml:space="preserve">, 846 N.W.2d 605 (Minn. App. May 27, 2014), </w:t>
      </w:r>
      <w:r>
        <w:rPr>
          <w:b/>
          <w:i/>
          <w:szCs w:val="26"/>
        </w:rPr>
        <w:t xml:space="preserve">review denied </w:t>
      </w:r>
      <w:r>
        <w:rPr>
          <w:b/>
          <w:szCs w:val="26"/>
        </w:rPr>
        <w:t xml:space="preserve">(Minn. Aug. 5, 2014) (A13-1346).  </w:t>
      </w:r>
    </w:p>
    <w:p w:rsidR="002D4595" w:rsidRDefault="002D4595" w:rsidP="008F1B68">
      <w:pPr>
        <w:ind w:firstLine="720"/>
        <w:outlineLvl w:val="3"/>
        <w:rPr>
          <w:color w:val="000000"/>
          <w:szCs w:val="26"/>
        </w:rPr>
      </w:pPr>
      <w:r w:rsidRPr="002D4595">
        <w:rPr>
          <w:color w:val="000000"/>
          <w:szCs w:val="26"/>
        </w:rPr>
        <w:t>Evidence that another state authorized a person to possess and use marijuana for a medical purpose is not relevant in a Minnesota trial on a charge that the person possessed a controlled substance in violation of Minnesota law.</w:t>
      </w:r>
    </w:p>
    <w:p w:rsidR="00100EC8" w:rsidRDefault="00100EC8" w:rsidP="008F1B68">
      <w:pPr>
        <w:outlineLvl w:val="3"/>
        <w:rPr>
          <w:color w:val="000000"/>
          <w:szCs w:val="26"/>
        </w:rPr>
      </w:pPr>
    </w:p>
    <w:p w:rsidR="00100EC8" w:rsidRDefault="00100EC8" w:rsidP="008F1B68">
      <w:pPr>
        <w:outlineLvl w:val="3"/>
        <w:rPr>
          <w:b/>
          <w:color w:val="000000"/>
          <w:szCs w:val="26"/>
        </w:rPr>
      </w:pPr>
      <w:r>
        <w:rPr>
          <w:b/>
          <w:i/>
          <w:color w:val="000000"/>
          <w:szCs w:val="26"/>
        </w:rPr>
        <w:t>State v. Welle</w:t>
      </w:r>
      <w:r>
        <w:rPr>
          <w:b/>
          <w:color w:val="000000"/>
          <w:szCs w:val="26"/>
        </w:rPr>
        <w:t xml:space="preserve">, 847 N.W.2d 52 (Minn. App. May 27, 2014), </w:t>
      </w:r>
      <w:r>
        <w:rPr>
          <w:b/>
          <w:i/>
          <w:color w:val="000000"/>
          <w:szCs w:val="26"/>
        </w:rPr>
        <w:t xml:space="preserve">review granted </w:t>
      </w:r>
      <w:r>
        <w:rPr>
          <w:b/>
          <w:color w:val="000000"/>
          <w:szCs w:val="26"/>
        </w:rPr>
        <w:t xml:space="preserve">(Minn. Aug. 5, 2014) (A13-0256).  </w:t>
      </w:r>
    </w:p>
    <w:p w:rsidR="00E23643" w:rsidRPr="00E23643" w:rsidRDefault="00E23643" w:rsidP="008F1B68">
      <w:pPr>
        <w:outlineLvl w:val="3"/>
        <w:rPr>
          <w:szCs w:val="26"/>
        </w:rPr>
      </w:pPr>
      <w:r>
        <w:rPr>
          <w:b/>
          <w:color w:val="000000"/>
          <w:szCs w:val="26"/>
        </w:rPr>
        <w:tab/>
      </w:r>
      <w:r>
        <w:rPr>
          <w:color w:val="000000"/>
          <w:szCs w:val="26"/>
        </w:rPr>
        <w:t xml:space="preserve">If other-acts evidence introduced to rebut a claim of self-defense is not relevant to disproving the elements of that claim and if the prejudicial effect of the evidence outweighs its probative value, the district court abuses its discretion by admitting the evidence, and the defendant is entitled to a new trial.  </w:t>
      </w:r>
    </w:p>
    <w:p w:rsidR="00C000BD" w:rsidRDefault="00C000BD" w:rsidP="008F1B68">
      <w:pPr>
        <w:outlineLvl w:val="3"/>
        <w:rPr>
          <w:szCs w:val="26"/>
        </w:rPr>
      </w:pPr>
    </w:p>
    <w:p w:rsidR="00D76653" w:rsidRPr="00D76653" w:rsidRDefault="00D76653" w:rsidP="008F1B68">
      <w:pPr>
        <w:outlineLvl w:val="3"/>
        <w:rPr>
          <w:b/>
          <w:szCs w:val="26"/>
        </w:rPr>
      </w:pPr>
      <w:r>
        <w:rPr>
          <w:b/>
          <w:i/>
          <w:szCs w:val="26"/>
        </w:rPr>
        <w:t>State v. Expose</w:t>
      </w:r>
      <w:r>
        <w:rPr>
          <w:b/>
          <w:szCs w:val="26"/>
        </w:rPr>
        <w:t>, 849 N.W.2d 427 (Minn. App. July 14, 2014)</w:t>
      </w:r>
      <w:r w:rsidR="00BB2940">
        <w:rPr>
          <w:b/>
          <w:szCs w:val="26"/>
        </w:rPr>
        <w:t xml:space="preserve">, </w:t>
      </w:r>
      <w:r w:rsidR="00BB2940">
        <w:rPr>
          <w:b/>
          <w:i/>
          <w:szCs w:val="26"/>
        </w:rPr>
        <w:t>review granted</w:t>
      </w:r>
      <w:r w:rsidR="00BB2940">
        <w:rPr>
          <w:b/>
          <w:szCs w:val="26"/>
        </w:rPr>
        <w:t xml:space="preserve"> (Minn. Sept. 24, 2014)</w:t>
      </w:r>
      <w:r>
        <w:rPr>
          <w:b/>
          <w:szCs w:val="26"/>
        </w:rPr>
        <w:t xml:space="preserve"> (A13-1285).  </w:t>
      </w:r>
    </w:p>
    <w:p w:rsidR="00D76653" w:rsidRDefault="00D76653" w:rsidP="008F1B68">
      <w:pPr>
        <w:suppressAutoHyphens w:val="0"/>
        <w:autoSpaceDE w:val="0"/>
        <w:autoSpaceDN w:val="0"/>
        <w:adjustRightInd w:val="0"/>
        <w:ind w:firstLine="720"/>
        <w:rPr>
          <w:szCs w:val="26"/>
        </w:rPr>
      </w:pPr>
      <w:r w:rsidRPr="00D76653">
        <w:rPr>
          <w:color w:val="000000"/>
          <w:szCs w:val="26"/>
        </w:rPr>
        <w:t xml:space="preserve">Minnesota law does not recognize a “threats exception” to the statutory psychologist-client testimonial privilege in Minnesota Statutes section 595.02, subdivision 1(g) (2012). Absent a client’s knowing </w:t>
      </w:r>
      <w:r>
        <w:rPr>
          <w:color w:val="000000"/>
          <w:szCs w:val="26"/>
        </w:rPr>
        <w:t xml:space="preserve">and intentional waiver of the </w:t>
      </w:r>
      <w:r w:rsidRPr="00D76653">
        <w:rPr>
          <w:szCs w:val="26"/>
        </w:rPr>
        <w:t>privilege, a psychologist may not testify in a criminal trial about threats of physical violence made by the client during an individual therapy session.</w:t>
      </w:r>
    </w:p>
    <w:p w:rsidR="00D76653" w:rsidRDefault="00D76653" w:rsidP="008F1B68">
      <w:pPr>
        <w:outlineLvl w:val="3"/>
        <w:rPr>
          <w:szCs w:val="26"/>
        </w:rPr>
      </w:pPr>
    </w:p>
    <w:p w:rsidR="00C000BD" w:rsidRDefault="00C000BD" w:rsidP="008F1B68">
      <w:pPr>
        <w:suppressAutoHyphens w:val="0"/>
        <w:rPr>
          <w:b/>
          <w:u w:val="single"/>
        </w:rPr>
      </w:pPr>
    </w:p>
    <w:p w:rsidR="00C000BD" w:rsidRDefault="00C000BD" w:rsidP="008F1B68">
      <w:pPr>
        <w:suppressAutoHyphens w:val="0"/>
      </w:pPr>
      <w:r>
        <w:rPr>
          <w:b/>
          <w:u w:val="single"/>
        </w:rPr>
        <w:t>Guilty Pleas</w:t>
      </w:r>
    </w:p>
    <w:p w:rsidR="00C000BD" w:rsidRDefault="00C000BD" w:rsidP="008F1B68">
      <w:pPr>
        <w:outlineLvl w:val="3"/>
        <w:rPr>
          <w:szCs w:val="26"/>
        </w:rPr>
      </w:pPr>
    </w:p>
    <w:p w:rsidR="00C000BD" w:rsidRDefault="00C000BD" w:rsidP="008F1B68">
      <w:pPr>
        <w:tabs>
          <w:tab w:val="left" w:pos="720"/>
          <w:tab w:val="left" w:pos="1440"/>
          <w:tab w:val="left" w:pos="2160"/>
        </w:tabs>
      </w:pPr>
      <w:r>
        <w:rPr>
          <w:b/>
          <w:i/>
        </w:rPr>
        <w:t>State v. Cubas</w:t>
      </w:r>
      <w:r>
        <w:rPr>
          <w:b/>
        </w:rPr>
        <w:t xml:space="preserve">, 838 N.W.2d 220 (Minn. App. Oct. 15, 2013), </w:t>
      </w:r>
      <w:r>
        <w:rPr>
          <w:b/>
          <w:i/>
        </w:rPr>
        <w:t>review denied</w:t>
      </w:r>
      <w:r>
        <w:rPr>
          <w:b/>
        </w:rPr>
        <w:t xml:space="preserve"> (Minn. Dec. 31, 2013) (A13-1188).</w:t>
      </w:r>
    </w:p>
    <w:p w:rsidR="00C000BD" w:rsidRPr="00CC740F" w:rsidRDefault="00C000BD" w:rsidP="008F1B68">
      <w:pPr>
        <w:pStyle w:val="Heading1"/>
        <w:keepNext w:val="0"/>
        <w:ind w:firstLine="720"/>
        <w:rPr>
          <w:b w:val="0"/>
          <w:szCs w:val="26"/>
        </w:rPr>
      </w:pPr>
      <w:r w:rsidRPr="00161078">
        <w:rPr>
          <w:b w:val="0"/>
          <w:szCs w:val="26"/>
        </w:rPr>
        <w:t xml:space="preserve">When ruling on a motion for plea withdrawal under Minn. R. Crim. P. 15.05, subd. 2, the district court must give due consideration to the defendant’s reasons in support of the motion, as well as any </w:t>
      </w:r>
      <w:r>
        <w:rPr>
          <w:b w:val="0"/>
          <w:szCs w:val="26"/>
        </w:rPr>
        <w:t xml:space="preserve">potential </w:t>
      </w:r>
      <w:r w:rsidRPr="00161078">
        <w:rPr>
          <w:b w:val="0"/>
          <w:szCs w:val="26"/>
        </w:rPr>
        <w:t xml:space="preserve">prejudice </w:t>
      </w:r>
      <w:r>
        <w:rPr>
          <w:b w:val="0"/>
          <w:szCs w:val="26"/>
        </w:rPr>
        <w:t>to</w:t>
      </w:r>
      <w:r w:rsidRPr="00161078">
        <w:rPr>
          <w:b w:val="0"/>
          <w:szCs w:val="26"/>
        </w:rPr>
        <w:t xml:space="preserve"> the prosecution.</w:t>
      </w:r>
    </w:p>
    <w:p w:rsidR="00C000BD" w:rsidRDefault="00C000BD" w:rsidP="008F1B68">
      <w:pPr>
        <w:suppressAutoHyphens w:val="0"/>
      </w:pPr>
    </w:p>
    <w:p w:rsidR="00C000BD" w:rsidRDefault="00C000BD" w:rsidP="008F1B68">
      <w:pPr>
        <w:tabs>
          <w:tab w:val="left" w:pos="720"/>
          <w:tab w:val="left" w:pos="1440"/>
          <w:tab w:val="left" w:pos="2160"/>
        </w:tabs>
      </w:pPr>
      <w:r>
        <w:rPr>
          <w:b/>
          <w:i/>
        </w:rPr>
        <w:t>State v. Klug</w:t>
      </w:r>
      <w:r>
        <w:rPr>
          <w:b/>
        </w:rPr>
        <w:t>, 839 N.W.2d 723 (Minn. App. Nov. 18, 2013) (A13-0554).</w:t>
      </w:r>
    </w:p>
    <w:p w:rsidR="00C000BD" w:rsidRDefault="007B5264" w:rsidP="008F1B68">
      <w:pPr>
        <w:pStyle w:val="ListBullet"/>
        <w:ind w:firstLine="720"/>
      </w:pPr>
      <w:r>
        <w:t>1.</w:t>
      </w:r>
      <w:r w:rsidR="00C000BD">
        <w:tab/>
        <w:t>A district court’s decision to decline to accept a plea agreement presented on the day a trial is set to begin is a permissible exercise of its discretion.</w:t>
      </w:r>
    </w:p>
    <w:p w:rsidR="00C000BD" w:rsidRPr="00F366CA" w:rsidRDefault="00C000BD" w:rsidP="008F1B68">
      <w:pPr>
        <w:pStyle w:val="ListBullet"/>
        <w:ind w:firstLine="720"/>
        <w:rPr>
          <w:i/>
        </w:rPr>
      </w:pPr>
      <w:r>
        <w:t>2.</w:t>
      </w:r>
      <w:r>
        <w:tab/>
        <w:t xml:space="preserve">Where a defendant who maintains his innocence testifies that he believes that the state’s evidence is sufficient to convict him, and the district court reasonably concludes, based on its assessment of the state’s evidence and the testimony of the defendant, that there is a strong possibility that a jury would convict, the factual basis is sufficient to support a plea pursuant to </w:t>
      </w:r>
      <w:r>
        <w:rPr>
          <w:i/>
        </w:rPr>
        <w:t>North Carolina v.</w:t>
      </w:r>
      <w:r>
        <w:t xml:space="preserve"> </w:t>
      </w:r>
      <w:r>
        <w:rPr>
          <w:i/>
        </w:rPr>
        <w:t>Alford</w:t>
      </w:r>
      <w:r>
        <w:t>, 400 U.S. 25, 91 S. Ct. 160 (1970).</w:t>
      </w:r>
    </w:p>
    <w:p w:rsidR="00C000BD" w:rsidRDefault="00C000BD" w:rsidP="008F1B68">
      <w:pPr>
        <w:pStyle w:val="ListBullet"/>
        <w:ind w:firstLine="720"/>
      </w:pPr>
      <w:r>
        <w:lastRenderedPageBreak/>
        <w:t>3.</w:t>
      </w:r>
      <w:r>
        <w:tab/>
        <w:t>A district court does not abuse its discretion by denying a post-sentence plea withdrawal when the defendant neither formally moves for withdrawal nor makes more than a passing reference to the possibility of proceeding to trial.</w:t>
      </w:r>
    </w:p>
    <w:p w:rsidR="00C000BD" w:rsidRDefault="00C000BD" w:rsidP="008F1B68">
      <w:pPr>
        <w:suppressAutoHyphens w:val="0"/>
      </w:pPr>
    </w:p>
    <w:p w:rsidR="00A10668" w:rsidRDefault="00A10668" w:rsidP="008F1B68">
      <w:pPr>
        <w:suppressAutoHyphens w:val="0"/>
        <w:rPr>
          <w:b/>
        </w:rPr>
      </w:pPr>
      <w:r>
        <w:rPr>
          <w:b/>
          <w:i/>
        </w:rPr>
        <w:t>State v. Miller</w:t>
      </w:r>
      <w:r>
        <w:rPr>
          <w:b/>
        </w:rPr>
        <w:t xml:space="preserve">, 849 N.W.2d 94 (Minn. App. June 30, 2014) (A13-1689).  </w:t>
      </w:r>
    </w:p>
    <w:p w:rsidR="000C38B5" w:rsidRPr="00A10668" w:rsidRDefault="000C38B5" w:rsidP="008F1B68">
      <w:pPr>
        <w:suppressAutoHyphens w:val="0"/>
      </w:pPr>
      <w:r>
        <w:t xml:space="preserve">(See page </w:t>
      </w:r>
      <w:r w:rsidR="00A4430F">
        <w:t>16</w:t>
      </w:r>
      <w:r>
        <w:t xml:space="preserve"> for additional syllabus point)</w:t>
      </w:r>
    </w:p>
    <w:p w:rsidR="00A10668" w:rsidRPr="00A10668" w:rsidRDefault="007B5264" w:rsidP="008F1B68">
      <w:pPr>
        <w:suppressAutoHyphens w:val="0"/>
        <w:autoSpaceDE w:val="0"/>
        <w:autoSpaceDN w:val="0"/>
        <w:adjustRightInd w:val="0"/>
        <w:ind w:firstLine="720"/>
        <w:rPr>
          <w:color w:val="000000"/>
          <w:szCs w:val="26"/>
        </w:rPr>
      </w:pPr>
      <w:r>
        <w:rPr>
          <w:color w:val="000000"/>
          <w:szCs w:val="26"/>
        </w:rPr>
        <w:t>1.</w:t>
      </w:r>
      <w:r w:rsidR="00A10668">
        <w:rPr>
          <w:color w:val="000000"/>
          <w:szCs w:val="26"/>
        </w:rPr>
        <w:tab/>
      </w:r>
      <w:r w:rsidR="00A10668" w:rsidRPr="00A10668">
        <w:rPr>
          <w:color w:val="000000"/>
          <w:szCs w:val="26"/>
        </w:rPr>
        <w:t xml:space="preserve">A district court may not sua sponte vacate a defendant’s guilty plea without substantial and compelling reasons or notice and the opportunity for all parties to be heard. </w:t>
      </w:r>
    </w:p>
    <w:p w:rsidR="00C000BD" w:rsidRDefault="00C000BD" w:rsidP="008F1B68">
      <w:pPr>
        <w:suppressAutoHyphens w:val="0"/>
      </w:pPr>
    </w:p>
    <w:p w:rsidR="00C000BD" w:rsidRDefault="00C000BD" w:rsidP="008F1B68">
      <w:pPr>
        <w:tabs>
          <w:tab w:val="left" w:pos="720"/>
          <w:tab w:val="left" w:pos="1440"/>
        </w:tabs>
        <w:suppressAutoHyphens w:val="0"/>
      </w:pPr>
    </w:p>
    <w:p w:rsidR="00C000BD" w:rsidRPr="00E7766B" w:rsidRDefault="00C000BD" w:rsidP="008F1B68">
      <w:pPr>
        <w:tabs>
          <w:tab w:val="left" w:pos="720"/>
          <w:tab w:val="left" w:pos="1440"/>
        </w:tabs>
        <w:suppressAutoHyphens w:val="0"/>
        <w:rPr>
          <w:b/>
          <w:u w:val="single"/>
        </w:rPr>
      </w:pPr>
      <w:r w:rsidRPr="00E7766B">
        <w:rPr>
          <w:b/>
          <w:u w:val="single"/>
        </w:rPr>
        <w:t>Postconviction</w:t>
      </w:r>
    </w:p>
    <w:p w:rsidR="00C000BD" w:rsidRDefault="00C000BD" w:rsidP="008F1B68">
      <w:pPr>
        <w:tabs>
          <w:tab w:val="left" w:pos="720"/>
          <w:tab w:val="left" w:pos="1440"/>
        </w:tabs>
        <w:suppressAutoHyphens w:val="0"/>
      </w:pPr>
    </w:p>
    <w:p w:rsidR="00C000BD" w:rsidRDefault="00C000BD" w:rsidP="008F1B68">
      <w:pPr>
        <w:tabs>
          <w:tab w:val="left" w:pos="720"/>
          <w:tab w:val="left" w:pos="1440"/>
          <w:tab w:val="left" w:pos="2160"/>
        </w:tabs>
      </w:pPr>
      <w:r>
        <w:rPr>
          <w:b/>
          <w:i/>
        </w:rPr>
        <w:t>Frisch v. State</w:t>
      </w:r>
      <w:r>
        <w:rPr>
          <w:b/>
        </w:rPr>
        <w:t>, 840 N.W.2d 426 (Minn. App. Dec. 9, 2013)</w:t>
      </w:r>
      <w:r w:rsidR="002F5A63">
        <w:rPr>
          <w:b/>
        </w:rPr>
        <w:t xml:space="preserve">, </w:t>
      </w:r>
      <w:r w:rsidR="002F5A63">
        <w:rPr>
          <w:b/>
          <w:i/>
        </w:rPr>
        <w:t>review denied</w:t>
      </w:r>
      <w:r w:rsidR="002F5A63">
        <w:rPr>
          <w:b/>
        </w:rPr>
        <w:t xml:space="preserve"> (Minn. Sept. 16, 2014) </w:t>
      </w:r>
      <w:r>
        <w:rPr>
          <w:b/>
        </w:rPr>
        <w:t>(A13-1121).</w:t>
      </w:r>
    </w:p>
    <w:p w:rsidR="00C000BD" w:rsidRDefault="00C000BD" w:rsidP="008F1B68">
      <w:pPr>
        <w:rPr>
          <w:szCs w:val="26"/>
        </w:rPr>
      </w:pPr>
      <w:r>
        <w:tab/>
        <w:t>Minnesota Rule of Criminal Procedure 28.02, subdivision 4(4), which permits this court to stay an appeal and remand a case to a district court for postconviction proceedings, does not apply to an appeal from the denial of a postconviction petition.</w:t>
      </w:r>
      <w:r w:rsidRPr="00756D04">
        <w:rPr>
          <w:szCs w:val="26"/>
        </w:rPr>
        <w:t xml:space="preserve">  </w:t>
      </w:r>
    </w:p>
    <w:p w:rsidR="00C000BD" w:rsidRDefault="00C000BD" w:rsidP="008F1B68">
      <w:pPr>
        <w:rPr>
          <w:szCs w:val="26"/>
        </w:rPr>
      </w:pPr>
    </w:p>
    <w:p w:rsidR="00C000BD" w:rsidRDefault="00C000BD" w:rsidP="008F1B68">
      <w:pPr>
        <w:rPr>
          <w:b/>
        </w:rPr>
      </w:pPr>
      <w:r w:rsidRPr="006E3109">
        <w:rPr>
          <w:b/>
          <w:i/>
        </w:rPr>
        <w:t>Matakis v. State</w:t>
      </w:r>
      <w:r>
        <w:rPr>
          <w:b/>
        </w:rPr>
        <w:t xml:space="preserve">, 842 N.W.2d 689 (Minn. App. Feb. 18, 2014), </w:t>
      </w:r>
      <w:r>
        <w:rPr>
          <w:b/>
          <w:i/>
        </w:rPr>
        <w:t xml:space="preserve">review granted </w:t>
      </w:r>
      <w:r>
        <w:rPr>
          <w:b/>
        </w:rPr>
        <w:t>(Minn. Apr. 15, 2014) (A13-1040).</w:t>
      </w:r>
    </w:p>
    <w:p w:rsidR="00C000BD" w:rsidRPr="00774DC7" w:rsidRDefault="00C000BD" w:rsidP="008F1B68">
      <w:pPr>
        <w:pStyle w:val="Heading1"/>
        <w:keepNext w:val="0"/>
        <w:ind w:firstLine="720"/>
        <w:rPr>
          <w:b w:val="0"/>
          <w:szCs w:val="26"/>
        </w:rPr>
      </w:pPr>
      <w:r>
        <w:rPr>
          <w:b w:val="0"/>
          <w:szCs w:val="26"/>
        </w:rPr>
        <w:t>A postconviction court does not abuse its discretion by denying a petition for postconviction relief without an evidentiary hearing when the petition does not plead any facts which, if true, would support the relief sought, even when the petition promises that a later affidavit will include the relevant facts.</w:t>
      </w:r>
      <w:r w:rsidRPr="00756D04">
        <w:rPr>
          <w:szCs w:val="26"/>
        </w:rPr>
        <w:t xml:space="preserve">  </w:t>
      </w:r>
    </w:p>
    <w:p w:rsidR="00C000BD" w:rsidRDefault="00C000BD" w:rsidP="008F1B68">
      <w:pPr>
        <w:tabs>
          <w:tab w:val="left" w:pos="720"/>
          <w:tab w:val="left" w:pos="1440"/>
        </w:tabs>
        <w:suppressAutoHyphens w:val="0"/>
      </w:pPr>
    </w:p>
    <w:p w:rsidR="00C000BD" w:rsidRDefault="00C000BD" w:rsidP="008F1B68">
      <w:pPr>
        <w:tabs>
          <w:tab w:val="left" w:pos="720"/>
          <w:tab w:val="left" w:pos="1440"/>
        </w:tabs>
        <w:suppressAutoHyphens w:val="0"/>
      </w:pPr>
    </w:p>
    <w:p w:rsidR="00C000BD" w:rsidRPr="008D3794" w:rsidRDefault="00C000BD" w:rsidP="008F1B68">
      <w:pPr>
        <w:suppressAutoHyphens w:val="0"/>
        <w:rPr>
          <w:b/>
          <w:u w:val="single"/>
        </w:rPr>
      </w:pPr>
      <w:r>
        <w:rPr>
          <w:b/>
          <w:u w:val="single"/>
        </w:rPr>
        <w:t>Pretrial Procedure</w:t>
      </w:r>
    </w:p>
    <w:p w:rsidR="00C000BD" w:rsidRDefault="00C000BD" w:rsidP="008F1B68">
      <w:pPr>
        <w:suppressAutoHyphens w:val="0"/>
        <w:rPr>
          <w:b/>
          <w:i/>
          <w:szCs w:val="26"/>
        </w:rPr>
      </w:pPr>
    </w:p>
    <w:p w:rsidR="00C000BD" w:rsidRDefault="00C000BD" w:rsidP="008F1B68">
      <w:pPr>
        <w:rPr>
          <w:rFonts w:hAnsi="Symbol"/>
          <w:b/>
        </w:rPr>
      </w:pPr>
      <w:r>
        <w:rPr>
          <w:rFonts w:hAnsi="Symbol"/>
          <w:b/>
          <w:i/>
        </w:rPr>
        <w:t>State v. Carlson</w:t>
      </w:r>
      <w:r>
        <w:rPr>
          <w:rFonts w:hAnsi="Symbol"/>
          <w:b/>
        </w:rPr>
        <w:t xml:space="preserve">, </w:t>
      </w:r>
      <w:r w:rsidR="00781D5D">
        <w:rPr>
          <w:b/>
        </w:rPr>
        <w:t>845</w:t>
      </w:r>
      <w:r w:rsidRPr="000C06F3">
        <w:rPr>
          <w:b/>
        </w:rPr>
        <w:t xml:space="preserve"> N.W.2d </w:t>
      </w:r>
      <w:r w:rsidR="00781D5D">
        <w:rPr>
          <w:b/>
        </w:rPr>
        <w:t>827</w:t>
      </w:r>
      <w:r>
        <w:rPr>
          <w:rFonts w:hAnsi="Symbol"/>
          <w:b/>
        </w:rPr>
        <w:t xml:space="preserve"> (Minn. App. Apr. 7, 2014), </w:t>
      </w:r>
      <w:r w:rsidR="00A23D32">
        <w:rPr>
          <w:rFonts w:hAnsi="Symbol"/>
          <w:b/>
          <w:i/>
        </w:rPr>
        <w:t>review denied</w:t>
      </w:r>
      <w:r>
        <w:rPr>
          <w:rFonts w:hAnsi="Symbol"/>
          <w:b/>
          <w:i/>
        </w:rPr>
        <w:t xml:space="preserve"> </w:t>
      </w:r>
      <w:r>
        <w:rPr>
          <w:rFonts w:hAnsi="Symbol"/>
          <w:b/>
        </w:rPr>
        <w:t xml:space="preserve">(Minn. </w:t>
      </w:r>
      <w:r w:rsidR="002F5A63">
        <w:rPr>
          <w:rFonts w:hAnsi="Symbol"/>
          <w:b/>
        </w:rPr>
        <w:t>June</w:t>
      </w:r>
      <w:r w:rsidR="00A23D32">
        <w:rPr>
          <w:rFonts w:hAnsi="Symbol"/>
          <w:b/>
        </w:rPr>
        <w:t xml:space="preserve"> 17, 2014</w:t>
      </w:r>
      <w:r>
        <w:rPr>
          <w:rFonts w:hAnsi="Symbol"/>
          <w:b/>
        </w:rPr>
        <w:t>) (A13-0416).</w:t>
      </w:r>
    </w:p>
    <w:p w:rsidR="00C000BD" w:rsidRPr="00955EED" w:rsidRDefault="00C000BD" w:rsidP="008F1B68">
      <w:pPr>
        <w:pStyle w:val="Heading1"/>
        <w:keepNext w:val="0"/>
        <w:ind w:firstLine="720"/>
        <w:rPr>
          <w:b w:val="0"/>
          <w:szCs w:val="26"/>
        </w:rPr>
      </w:pPr>
      <w:r>
        <w:rPr>
          <w:b w:val="0"/>
        </w:rPr>
        <w:t>A complaint warrant</w:t>
      </w:r>
      <w:r w:rsidRPr="000C64BE">
        <w:rPr>
          <w:b w:val="0"/>
        </w:rPr>
        <w:t xml:space="preserve"> </w:t>
      </w:r>
      <w:r>
        <w:rPr>
          <w:b w:val="0"/>
        </w:rPr>
        <w:t xml:space="preserve">identifying the defendant of a burglary </w:t>
      </w:r>
      <w:r w:rsidRPr="000C64BE">
        <w:rPr>
          <w:b w:val="0"/>
        </w:rPr>
        <w:t xml:space="preserve">as </w:t>
      </w:r>
      <w:r>
        <w:rPr>
          <w:b w:val="0"/>
        </w:rPr>
        <w:t>“</w:t>
      </w:r>
      <w:r w:rsidRPr="000C64BE">
        <w:rPr>
          <w:b w:val="0"/>
        </w:rPr>
        <w:t>John Doe</w:t>
      </w:r>
      <w:r>
        <w:rPr>
          <w:b w:val="0"/>
        </w:rPr>
        <w:t xml:space="preserve">,” </w:t>
      </w:r>
      <w:r w:rsidRPr="000C64BE">
        <w:rPr>
          <w:b w:val="0"/>
        </w:rPr>
        <w:t xml:space="preserve">an unknown male, </w:t>
      </w:r>
      <w:r>
        <w:rPr>
          <w:b w:val="0"/>
        </w:rPr>
        <w:t>with a unique DNA profile satisfies the</w:t>
      </w:r>
      <w:r w:rsidRPr="00DE46DE">
        <w:rPr>
          <w:b w:val="0"/>
        </w:rPr>
        <w:t xml:space="preserve"> </w:t>
      </w:r>
      <w:r w:rsidRPr="00DE46DE">
        <w:rPr>
          <w:b w:val="0"/>
          <w:szCs w:val="26"/>
        </w:rPr>
        <w:t xml:space="preserve">particularity requirements of the </w:t>
      </w:r>
      <w:r>
        <w:rPr>
          <w:b w:val="0"/>
          <w:szCs w:val="26"/>
        </w:rPr>
        <w:t>w</w:t>
      </w:r>
      <w:r w:rsidRPr="00DE46DE">
        <w:rPr>
          <w:b w:val="0"/>
          <w:szCs w:val="26"/>
        </w:rPr>
        <w:t>arrant clause of the Fourth Amendment</w:t>
      </w:r>
      <w:r>
        <w:rPr>
          <w:b w:val="0"/>
          <w:szCs w:val="26"/>
        </w:rPr>
        <w:t xml:space="preserve"> and the “reasonable certainty” requirement of Minn. R. Crim. P. 3.02, subd. 1.  As a result, criminal prosecution is not time-barred when a John Doe DNA complaint is filed within the applicable statute of limitations period.  </w:t>
      </w:r>
    </w:p>
    <w:p w:rsidR="00C000BD" w:rsidRDefault="00C000BD" w:rsidP="008F1B68">
      <w:pPr>
        <w:rPr>
          <w:b/>
          <w:szCs w:val="26"/>
        </w:rPr>
      </w:pPr>
    </w:p>
    <w:p w:rsidR="00AA1609" w:rsidRDefault="00AA1609" w:rsidP="008F1B68">
      <w:pPr>
        <w:rPr>
          <w:b/>
          <w:szCs w:val="26"/>
        </w:rPr>
      </w:pPr>
    </w:p>
    <w:p w:rsidR="00AA1609" w:rsidRPr="00BC1ED3" w:rsidRDefault="00AA1609" w:rsidP="008F1B68">
      <w:pPr>
        <w:rPr>
          <w:b/>
          <w:szCs w:val="26"/>
        </w:rPr>
      </w:pPr>
    </w:p>
    <w:p w:rsidR="00C000BD" w:rsidRPr="00955EED" w:rsidRDefault="00C000BD" w:rsidP="008F1B68">
      <w:pPr>
        <w:rPr>
          <w:rFonts w:hAnsi="Symbol"/>
          <w:b/>
        </w:rPr>
      </w:pPr>
      <w:r>
        <w:rPr>
          <w:rFonts w:hAnsi="Symbol"/>
          <w:b/>
          <w:i/>
        </w:rPr>
        <w:lastRenderedPageBreak/>
        <w:t>State v. Wood</w:t>
      </w:r>
      <w:r>
        <w:rPr>
          <w:rFonts w:hAnsi="Symbol"/>
          <w:b/>
        </w:rPr>
        <w:t xml:space="preserve">, </w:t>
      </w:r>
      <w:r w:rsidRPr="003670DF">
        <w:rPr>
          <w:rFonts w:hAnsi="Symbol"/>
          <w:b/>
        </w:rPr>
        <w:t>845 N.W.2d</w:t>
      </w:r>
      <w:r>
        <w:rPr>
          <w:rFonts w:hAnsi="Symbol"/>
          <w:b/>
        </w:rPr>
        <w:t xml:space="preserve"> 239 (Minn. App. Apr. 7, 2014), </w:t>
      </w:r>
      <w:r w:rsidR="00A23D32">
        <w:rPr>
          <w:rFonts w:hAnsi="Symbol"/>
          <w:b/>
          <w:i/>
        </w:rPr>
        <w:t>review denied</w:t>
      </w:r>
      <w:r>
        <w:rPr>
          <w:rFonts w:hAnsi="Symbol"/>
          <w:b/>
          <w:i/>
        </w:rPr>
        <w:t xml:space="preserve"> </w:t>
      </w:r>
      <w:r>
        <w:rPr>
          <w:rFonts w:hAnsi="Symbol"/>
          <w:b/>
        </w:rPr>
        <w:t xml:space="preserve">(Minn. </w:t>
      </w:r>
      <w:r w:rsidR="00BC1ED3">
        <w:rPr>
          <w:b/>
          <w:szCs w:val="26"/>
        </w:rPr>
        <w:t>June 17</w:t>
      </w:r>
      <w:r w:rsidR="00BC1ED3">
        <w:rPr>
          <w:rFonts w:hAnsi="Symbol"/>
          <w:b/>
        </w:rPr>
        <w:t>,</w:t>
      </w:r>
      <w:r w:rsidR="00A23D32">
        <w:rPr>
          <w:rFonts w:hAnsi="Symbol"/>
          <w:b/>
        </w:rPr>
        <w:t xml:space="preserve"> 2014</w:t>
      </w:r>
      <w:r>
        <w:rPr>
          <w:rFonts w:hAnsi="Symbol"/>
          <w:b/>
        </w:rPr>
        <w:t>) (A13-1048).</w:t>
      </w:r>
    </w:p>
    <w:p w:rsidR="00C000BD" w:rsidRPr="00955EED" w:rsidRDefault="00C000BD" w:rsidP="008F1B68">
      <w:pPr>
        <w:pStyle w:val="Heading1"/>
        <w:keepNext w:val="0"/>
        <w:ind w:firstLine="720"/>
        <w:rPr>
          <w:b w:val="0"/>
          <w:szCs w:val="26"/>
        </w:rPr>
      </w:pPr>
      <w:r>
        <w:rPr>
          <w:b w:val="0"/>
          <w:szCs w:val="26"/>
        </w:rPr>
        <w:t>The Minnesota Rules of Criminal Procedure do not require formal service of a misdemeanor or petty misdemeanor complaint.</w:t>
      </w:r>
    </w:p>
    <w:p w:rsidR="00C000BD" w:rsidRDefault="00C000BD" w:rsidP="008F1B68">
      <w:pPr>
        <w:outlineLvl w:val="3"/>
        <w:rPr>
          <w:b/>
          <w:bCs/>
          <w:i/>
          <w:szCs w:val="26"/>
          <w:highlight w:val="yellow"/>
        </w:rPr>
      </w:pPr>
    </w:p>
    <w:p w:rsidR="00C000BD" w:rsidRDefault="00C000BD" w:rsidP="008F1B68">
      <w:pPr>
        <w:outlineLvl w:val="3"/>
        <w:rPr>
          <w:b/>
          <w:bCs/>
          <w:i/>
          <w:szCs w:val="26"/>
          <w:highlight w:val="yellow"/>
        </w:rPr>
      </w:pPr>
    </w:p>
    <w:p w:rsidR="00C000BD" w:rsidRDefault="00C000BD" w:rsidP="008F1B68">
      <w:pPr>
        <w:suppressAutoHyphens w:val="0"/>
      </w:pPr>
      <w:r>
        <w:rPr>
          <w:b/>
          <w:u w:val="single"/>
        </w:rPr>
        <w:t>Search &amp; Seizure</w:t>
      </w:r>
    </w:p>
    <w:p w:rsidR="00C000BD" w:rsidRDefault="00C000BD" w:rsidP="008F1B68">
      <w:pPr>
        <w:rPr>
          <w:szCs w:val="26"/>
        </w:rPr>
      </w:pPr>
    </w:p>
    <w:p w:rsidR="00562C73" w:rsidRDefault="00562C73" w:rsidP="008F1B68">
      <w:pPr>
        <w:tabs>
          <w:tab w:val="left" w:pos="720"/>
          <w:tab w:val="left" w:pos="1440"/>
          <w:tab w:val="left" w:pos="2160"/>
        </w:tabs>
      </w:pPr>
      <w:r>
        <w:rPr>
          <w:b/>
          <w:i/>
        </w:rPr>
        <w:t>Hoekstra v. Comm’r of Pub. Safety</w:t>
      </w:r>
      <w:r>
        <w:rPr>
          <w:b/>
        </w:rPr>
        <w:t>, 839 N.W.2d 536 (Minn. App. Nov. 25, 2013) (A13-0682).</w:t>
      </w:r>
    </w:p>
    <w:p w:rsidR="00775B2E" w:rsidRDefault="00562C73" w:rsidP="008F1B68">
      <w:pPr>
        <w:tabs>
          <w:tab w:val="left" w:pos="720"/>
          <w:tab w:val="left" w:pos="1440"/>
          <w:tab w:val="left" w:pos="2160"/>
        </w:tabs>
        <w:rPr>
          <w:szCs w:val="26"/>
        </w:rPr>
      </w:pPr>
      <w:r>
        <w:rPr>
          <w:szCs w:val="26"/>
        </w:rPr>
        <w:tab/>
        <w:t>The meaning of “covers” in Minn. Stat. § 169.64, subd. 10(a) (2010), includes equipment or material that only partially covers a headlamp, tail lamp, or reflector.</w:t>
      </w:r>
    </w:p>
    <w:p w:rsidR="00562C73" w:rsidRPr="00EC35F7" w:rsidRDefault="00562C73" w:rsidP="008F1B68">
      <w:pPr>
        <w:tabs>
          <w:tab w:val="left" w:pos="720"/>
          <w:tab w:val="left" w:pos="1440"/>
          <w:tab w:val="left" w:pos="2160"/>
        </w:tabs>
      </w:pPr>
    </w:p>
    <w:p w:rsidR="00C000BD" w:rsidRDefault="00C000BD" w:rsidP="008F1B68">
      <w:pPr>
        <w:tabs>
          <w:tab w:val="left" w:pos="720"/>
          <w:tab w:val="left" w:pos="1440"/>
          <w:tab w:val="left" w:pos="2160"/>
        </w:tabs>
      </w:pPr>
      <w:r>
        <w:rPr>
          <w:b/>
          <w:i/>
        </w:rPr>
        <w:t>State v. Eichers</w:t>
      </w:r>
      <w:r>
        <w:rPr>
          <w:b/>
        </w:rPr>
        <w:t xml:space="preserve">, 840 N.W.2d 210 (Minn. App. Dec. 2, 2013), </w:t>
      </w:r>
      <w:r w:rsidR="00EE2F64">
        <w:rPr>
          <w:b/>
          <w:i/>
        </w:rPr>
        <w:t>aff’d on other grounds</w:t>
      </w:r>
      <w:r w:rsidR="00EE2F64">
        <w:rPr>
          <w:b/>
        </w:rPr>
        <w:t xml:space="preserve">, 853 N.W.2d 114 (Minn. 2014) </w:t>
      </w:r>
      <w:r>
        <w:rPr>
          <w:b/>
        </w:rPr>
        <w:t>(A13-0121).</w:t>
      </w:r>
    </w:p>
    <w:p w:rsidR="00C000BD" w:rsidRPr="002C1551" w:rsidRDefault="00C000BD" w:rsidP="008F1B68">
      <w:pPr>
        <w:pStyle w:val="Heading1"/>
        <w:keepNext w:val="0"/>
        <w:ind w:firstLine="720"/>
        <w:contextualSpacing/>
        <w:rPr>
          <w:b w:val="0"/>
          <w:szCs w:val="26"/>
        </w:rPr>
      </w:pPr>
      <w:r>
        <w:rPr>
          <w:b w:val="0"/>
        </w:rPr>
        <w:t>1.</w:t>
      </w:r>
      <w:r>
        <w:rPr>
          <w:b w:val="0"/>
        </w:rPr>
        <w:tab/>
      </w:r>
      <w:r w:rsidRPr="002C1551">
        <w:rPr>
          <w:b w:val="0"/>
        </w:rPr>
        <w:t xml:space="preserve">An airmail package is not seized, under U.S. Const. amend. IV or Minn. Const. art. I, § 10, when a police officer removes the package from an airport conveyor belt </w:t>
      </w:r>
      <w:r>
        <w:rPr>
          <w:b w:val="0"/>
        </w:rPr>
        <w:t xml:space="preserve">for a brief </w:t>
      </w:r>
      <w:r w:rsidRPr="002C1551">
        <w:rPr>
          <w:b w:val="0"/>
        </w:rPr>
        <w:t>visual inspect</w:t>
      </w:r>
      <w:r>
        <w:rPr>
          <w:b w:val="0"/>
        </w:rPr>
        <w:t>ion</w:t>
      </w:r>
      <w:r w:rsidRPr="002C1551">
        <w:rPr>
          <w:b w:val="0"/>
        </w:rPr>
        <w:t xml:space="preserve">. </w:t>
      </w:r>
    </w:p>
    <w:p w:rsidR="00C000BD" w:rsidRPr="002C1551" w:rsidRDefault="00C000BD" w:rsidP="008F1B68">
      <w:pPr>
        <w:pStyle w:val="Heading1"/>
        <w:keepNext w:val="0"/>
        <w:ind w:firstLine="720"/>
        <w:contextualSpacing/>
        <w:rPr>
          <w:b w:val="0"/>
          <w:szCs w:val="26"/>
        </w:rPr>
      </w:pPr>
      <w:r>
        <w:rPr>
          <w:b w:val="0"/>
        </w:rPr>
        <w:t>2.</w:t>
      </w:r>
      <w:r>
        <w:rPr>
          <w:b w:val="0"/>
        </w:rPr>
        <w:tab/>
        <w:t>W</w:t>
      </w:r>
      <w:r w:rsidRPr="002C1551">
        <w:rPr>
          <w:b w:val="0"/>
        </w:rPr>
        <w:t xml:space="preserve">hen a police officer </w:t>
      </w:r>
      <w:r>
        <w:rPr>
          <w:b w:val="0"/>
        </w:rPr>
        <w:t xml:space="preserve">prolongs the </w:t>
      </w:r>
      <w:r w:rsidRPr="002C1551">
        <w:rPr>
          <w:b w:val="0"/>
        </w:rPr>
        <w:t>remov</w:t>
      </w:r>
      <w:r>
        <w:rPr>
          <w:b w:val="0"/>
        </w:rPr>
        <w:t>al</w:t>
      </w:r>
      <w:r w:rsidRPr="002C1551">
        <w:rPr>
          <w:b w:val="0"/>
        </w:rPr>
        <w:t xml:space="preserve"> </w:t>
      </w:r>
      <w:r>
        <w:rPr>
          <w:b w:val="0"/>
        </w:rPr>
        <w:t>of a</w:t>
      </w:r>
      <w:r w:rsidRPr="002C1551">
        <w:rPr>
          <w:b w:val="0"/>
        </w:rPr>
        <w:t xml:space="preserve"> package from an airport conveyor belt for the purpose </w:t>
      </w:r>
      <w:r>
        <w:rPr>
          <w:b w:val="0"/>
        </w:rPr>
        <w:t xml:space="preserve">of subjecting it to a narcotics </w:t>
      </w:r>
      <w:r w:rsidRPr="002C1551">
        <w:rPr>
          <w:b w:val="0"/>
        </w:rPr>
        <w:t>dog sniff,</w:t>
      </w:r>
      <w:r>
        <w:rPr>
          <w:b w:val="0"/>
        </w:rPr>
        <w:t xml:space="preserve"> the officer’s action constitutes a </w:t>
      </w:r>
      <w:r w:rsidRPr="002C1551">
        <w:rPr>
          <w:b w:val="0"/>
        </w:rPr>
        <w:t>seiz</w:t>
      </w:r>
      <w:r>
        <w:rPr>
          <w:b w:val="0"/>
        </w:rPr>
        <w:t>ur</w:t>
      </w:r>
      <w:r w:rsidRPr="002C1551">
        <w:rPr>
          <w:b w:val="0"/>
        </w:rPr>
        <w:t>e u</w:t>
      </w:r>
      <w:r w:rsidRPr="002C1551">
        <w:rPr>
          <w:b w:val="0"/>
          <w:szCs w:val="26"/>
        </w:rPr>
        <w:t xml:space="preserve">nder </w:t>
      </w:r>
      <w:r w:rsidRPr="002C1551">
        <w:rPr>
          <w:b w:val="0"/>
        </w:rPr>
        <w:t>U.S. Const. amend. IV and Minn. Const. art. I, § 10, and</w:t>
      </w:r>
      <w:r>
        <w:rPr>
          <w:b w:val="0"/>
        </w:rPr>
        <w:t xml:space="preserve">, to be a constitutionally </w:t>
      </w:r>
      <w:r w:rsidRPr="002C1551">
        <w:rPr>
          <w:b w:val="0"/>
        </w:rPr>
        <w:t xml:space="preserve">reasonable </w:t>
      </w:r>
      <w:r>
        <w:rPr>
          <w:b w:val="0"/>
        </w:rPr>
        <w:t xml:space="preserve">seizure, </w:t>
      </w:r>
      <w:r w:rsidRPr="002C1551">
        <w:rPr>
          <w:b w:val="0"/>
        </w:rPr>
        <w:t xml:space="preserve">the officer </w:t>
      </w:r>
      <w:r>
        <w:rPr>
          <w:b w:val="0"/>
        </w:rPr>
        <w:t xml:space="preserve">must have a </w:t>
      </w:r>
      <w:r w:rsidRPr="002C1551">
        <w:rPr>
          <w:b w:val="0"/>
          <w:szCs w:val="26"/>
        </w:rPr>
        <w:t>reasonable, articulable suspicion to believe that the package contains contraband.</w:t>
      </w:r>
    </w:p>
    <w:p w:rsidR="00C000BD" w:rsidRPr="002C1551" w:rsidRDefault="00C000BD" w:rsidP="008F1B68">
      <w:pPr>
        <w:pStyle w:val="Heading1"/>
        <w:keepNext w:val="0"/>
        <w:ind w:firstLine="720"/>
        <w:contextualSpacing/>
        <w:rPr>
          <w:b w:val="0"/>
          <w:szCs w:val="26"/>
        </w:rPr>
      </w:pPr>
      <w:r>
        <w:rPr>
          <w:b w:val="0"/>
          <w:szCs w:val="26"/>
        </w:rPr>
        <w:t>3.</w:t>
      </w:r>
      <w:r>
        <w:rPr>
          <w:b w:val="0"/>
          <w:szCs w:val="26"/>
        </w:rPr>
        <w:tab/>
      </w:r>
      <w:r w:rsidRPr="00A810CC">
        <w:rPr>
          <w:b w:val="0"/>
          <w:szCs w:val="26"/>
        </w:rPr>
        <w:t>To be a constitutionally reasonable search, a</w:t>
      </w:r>
      <w:r>
        <w:rPr>
          <w:b w:val="0"/>
          <w:szCs w:val="26"/>
        </w:rPr>
        <w:t xml:space="preserve"> narcotics </w:t>
      </w:r>
      <w:r w:rsidRPr="00A810CC">
        <w:rPr>
          <w:b w:val="0"/>
          <w:szCs w:val="26"/>
        </w:rPr>
        <w:t>dog sniff of the exterior of an airmail package must be supported by a law-enforcement officer’s reasonable, articulable suspicion that the package contains contraband.</w:t>
      </w:r>
      <w:r w:rsidRPr="002C1551">
        <w:rPr>
          <w:b w:val="0"/>
          <w:szCs w:val="26"/>
        </w:rPr>
        <w:t xml:space="preserve"> </w:t>
      </w:r>
    </w:p>
    <w:p w:rsidR="00C000BD" w:rsidRPr="00EC35F7" w:rsidRDefault="00C000BD" w:rsidP="008F1B68">
      <w:pPr>
        <w:pStyle w:val="Heading1"/>
        <w:keepNext w:val="0"/>
        <w:ind w:firstLine="720"/>
        <w:contextualSpacing/>
        <w:rPr>
          <w:b w:val="0"/>
          <w:szCs w:val="26"/>
          <w:highlight w:val="yellow"/>
        </w:rPr>
      </w:pPr>
      <w:r>
        <w:rPr>
          <w:b w:val="0"/>
          <w:szCs w:val="26"/>
        </w:rPr>
        <w:t>4.</w:t>
      </w:r>
      <w:r>
        <w:rPr>
          <w:b w:val="0"/>
          <w:szCs w:val="26"/>
        </w:rPr>
        <w:tab/>
      </w:r>
      <w:r w:rsidRPr="009E0209">
        <w:rPr>
          <w:b w:val="0"/>
          <w:szCs w:val="26"/>
        </w:rPr>
        <w:t>Under the totality of circumstances, a police officer has reasonable, articulable</w:t>
      </w:r>
      <w:r w:rsidRPr="002C1551">
        <w:rPr>
          <w:b w:val="0"/>
          <w:szCs w:val="26"/>
        </w:rPr>
        <w:t xml:space="preserve"> suspicion to believe that an airmail package contains contraband when </w:t>
      </w:r>
      <w:r>
        <w:rPr>
          <w:b w:val="0"/>
          <w:szCs w:val="26"/>
        </w:rPr>
        <w:t xml:space="preserve">he articulates the facts on which his suspicion is based, </w:t>
      </w:r>
      <w:r w:rsidRPr="002C1551">
        <w:rPr>
          <w:b w:val="0"/>
          <w:szCs w:val="26"/>
        </w:rPr>
        <w:t xml:space="preserve">including </w:t>
      </w:r>
      <w:r>
        <w:rPr>
          <w:b w:val="0"/>
          <w:szCs w:val="26"/>
        </w:rPr>
        <w:t xml:space="preserve">his training and </w:t>
      </w:r>
      <w:r w:rsidRPr="002C1551">
        <w:rPr>
          <w:b w:val="0"/>
          <w:szCs w:val="26"/>
        </w:rPr>
        <w:t>experience and the bases of his inferences.</w:t>
      </w:r>
    </w:p>
    <w:p w:rsidR="00C000BD" w:rsidRDefault="00C000BD" w:rsidP="008F1B68">
      <w:pPr>
        <w:rPr>
          <w:szCs w:val="26"/>
        </w:rPr>
      </w:pPr>
    </w:p>
    <w:p w:rsidR="00C000BD" w:rsidRDefault="00C000BD" w:rsidP="008F1B68">
      <w:pPr>
        <w:tabs>
          <w:tab w:val="left" w:pos="720"/>
          <w:tab w:val="left" w:pos="1440"/>
          <w:tab w:val="left" w:pos="2160"/>
        </w:tabs>
      </w:pPr>
      <w:r>
        <w:rPr>
          <w:b/>
          <w:i/>
        </w:rPr>
        <w:t>State v. Rohde</w:t>
      </w:r>
      <w:r w:rsidR="00A6768A">
        <w:rPr>
          <w:b/>
        </w:rPr>
        <w:t>, 839 N.W.2d 758</w:t>
      </w:r>
      <w:r>
        <w:rPr>
          <w:b/>
        </w:rPr>
        <w:t xml:space="preserve"> (Minn. App. Dec. 2, 2013), </w:t>
      </w:r>
      <w:r w:rsidR="00582019">
        <w:rPr>
          <w:b/>
          <w:i/>
        </w:rPr>
        <w:t>rev</w:t>
      </w:r>
      <w:r w:rsidR="00EE2F64">
        <w:rPr>
          <w:b/>
          <w:i/>
        </w:rPr>
        <w:t>’d</w:t>
      </w:r>
      <w:r w:rsidR="00EE2F64">
        <w:rPr>
          <w:b/>
        </w:rPr>
        <w:t>, 852 N.W.2d 260 (Minn. 2014)</w:t>
      </w:r>
      <w:r>
        <w:rPr>
          <w:b/>
        </w:rPr>
        <w:t xml:space="preserve"> (A13-0610).</w:t>
      </w:r>
    </w:p>
    <w:p w:rsidR="00C000BD" w:rsidRPr="001D3DFE" w:rsidRDefault="00C000BD" w:rsidP="008F1B68">
      <w:pPr>
        <w:pStyle w:val="Heading1"/>
        <w:keepNext w:val="0"/>
        <w:ind w:firstLine="720"/>
        <w:rPr>
          <w:b w:val="0"/>
          <w:szCs w:val="26"/>
        </w:rPr>
      </w:pPr>
      <w:r>
        <w:rPr>
          <w:b w:val="0"/>
          <w:szCs w:val="26"/>
        </w:rPr>
        <w:t>Police may impound a vehicle for revoked license registration and plates, and for no insurance, when the driver does not ask to make her own towing arrangements.</w:t>
      </w:r>
    </w:p>
    <w:p w:rsidR="00C000BD" w:rsidRDefault="00C000BD" w:rsidP="008F1B68">
      <w:pPr>
        <w:outlineLvl w:val="3"/>
        <w:rPr>
          <w:b/>
          <w:bCs/>
          <w:i/>
          <w:szCs w:val="26"/>
        </w:rPr>
      </w:pPr>
    </w:p>
    <w:p w:rsidR="00C000BD" w:rsidRDefault="00C000BD" w:rsidP="008F1B68">
      <w:pPr>
        <w:rPr>
          <w:rFonts w:hAnsi="Symbol"/>
          <w:b/>
        </w:rPr>
      </w:pPr>
      <w:r>
        <w:rPr>
          <w:rFonts w:hAnsi="Symbol"/>
          <w:b/>
          <w:i/>
        </w:rPr>
        <w:t>State v. Stall</w:t>
      </w:r>
      <w:r>
        <w:rPr>
          <w:rFonts w:hAnsi="Symbol"/>
          <w:b/>
        </w:rPr>
        <w:t xml:space="preserve">, </w:t>
      </w:r>
      <w:r w:rsidRPr="003670DF">
        <w:rPr>
          <w:rFonts w:hAnsi="Symbol"/>
          <w:b/>
        </w:rPr>
        <w:t>845 N.W.2d 246</w:t>
      </w:r>
      <w:r>
        <w:rPr>
          <w:rFonts w:hAnsi="Symbol"/>
          <w:b/>
        </w:rPr>
        <w:t xml:space="preserve"> (Minn. App. Apr. 14, 2014) (A13-1041).</w:t>
      </w:r>
    </w:p>
    <w:p w:rsidR="00C000BD" w:rsidRPr="003755AB" w:rsidRDefault="00C000BD" w:rsidP="008F1B68">
      <w:pPr>
        <w:ind w:firstLine="720"/>
        <w:rPr>
          <w:rFonts w:hAnsi="Symbol"/>
        </w:rPr>
      </w:pPr>
      <w:r>
        <w:rPr>
          <w:szCs w:val="26"/>
        </w:rPr>
        <w:t>A state patrol employee who is not a trooper lacks the statutory authority to stop drivers and their motor vehicles.</w:t>
      </w:r>
    </w:p>
    <w:p w:rsidR="00C000BD" w:rsidRDefault="00C000BD" w:rsidP="008F1B68">
      <w:pPr>
        <w:outlineLvl w:val="3"/>
        <w:rPr>
          <w:b/>
          <w:bCs/>
          <w:i/>
          <w:szCs w:val="26"/>
        </w:rPr>
      </w:pPr>
    </w:p>
    <w:p w:rsidR="00C000BD" w:rsidRDefault="00C000BD" w:rsidP="008F1B68">
      <w:pPr>
        <w:suppressAutoHyphens w:val="0"/>
        <w:rPr>
          <w:szCs w:val="26"/>
        </w:rPr>
      </w:pPr>
    </w:p>
    <w:p w:rsidR="00C000BD" w:rsidRPr="00897F6D" w:rsidRDefault="00C000BD" w:rsidP="008F1B68">
      <w:pPr>
        <w:suppressAutoHyphens w:val="0"/>
        <w:rPr>
          <w:b/>
          <w:u w:val="single"/>
        </w:rPr>
      </w:pPr>
      <w:r>
        <w:rPr>
          <w:b/>
          <w:u w:val="single"/>
        </w:rPr>
        <w:lastRenderedPageBreak/>
        <w:t>Sentencing &amp; Restitution</w:t>
      </w:r>
    </w:p>
    <w:p w:rsidR="00C000BD" w:rsidRDefault="00C000BD" w:rsidP="008F1B68"/>
    <w:p w:rsidR="00562C73" w:rsidRDefault="00562C73" w:rsidP="008F1B68">
      <w:pPr>
        <w:tabs>
          <w:tab w:val="left" w:pos="720"/>
          <w:tab w:val="left" w:pos="1440"/>
          <w:tab w:val="left" w:pos="2160"/>
        </w:tabs>
      </w:pPr>
      <w:r>
        <w:rPr>
          <w:b/>
          <w:i/>
        </w:rPr>
        <w:t>State v. Hicks</w:t>
      </w:r>
      <w:r>
        <w:rPr>
          <w:b/>
        </w:rPr>
        <w:t xml:space="preserve">, 837 N.W.2d 51 (Minn. App. Sept. 3, 2013), </w:t>
      </w:r>
      <w:r>
        <w:rPr>
          <w:b/>
          <w:i/>
          <w:szCs w:val="26"/>
        </w:rPr>
        <w:t>review granted</w:t>
      </w:r>
      <w:r>
        <w:rPr>
          <w:b/>
          <w:szCs w:val="26"/>
        </w:rPr>
        <w:t xml:space="preserve"> (Minn. Nov.</w:t>
      </w:r>
      <w:r w:rsidR="00BC1ED3">
        <w:rPr>
          <w:b/>
          <w:szCs w:val="26"/>
        </w:rPr>
        <w:t> </w:t>
      </w:r>
      <w:r>
        <w:rPr>
          <w:b/>
          <w:szCs w:val="26"/>
        </w:rPr>
        <w:t>12, 2013)</w:t>
      </w:r>
      <w:r>
        <w:rPr>
          <w:b/>
        </w:rPr>
        <w:t xml:space="preserve"> (A12-1107).</w:t>
      </w:r>
    </w:p>
    <w:p w:rsidR="00562C73" w:rsidRDefault="00562C73" w:rsidP="008F1B68">
      <w:pPr>
        <w:pStyle w:val="Heading1"/>
        <w:keepNext w:val="0"/>
        <w:ind w:firstLine="720"/>
        <w:rPr>
          <w:b w:val="0"/>
          <w:sz w:val="24"/>
          <w:szCs w:val="26"/>
        </w:rPr>
      </w:pPr>
      <w:r w:rsidRPr="000815B7">
        <w:rPr>
          <w:b w:val="0"/>
          <w:szCs w:val="26"/>
        </w:rPr>
        <w:t>A defendant’s conceal</w:t>
      </w:r>
      <w:r>
        <w:rPr>
          <w:b w:val="0"/>
          <w:szCs w:val="26"/>
        </w:rPr>
        <w:t xml:space="preserve">ment of his murdered </w:t>
      </w:r>
      <w:r w:rsidRPr="000815B7">
        <w:rPr>
          <w:b w:val="0"/>
          <w:szCs w:val="26"/>
        </w:rPr>
        <w:t xml:space="preserve">victim’s body may </w:t>
      </w:r>
      <w:r>
        <w:rPr>
          <w:b w:val="0"/>
          <w:szCs w:val="26"/>
        </w:rPr>
        <w:t>constitute the aggravating factor of particular cruelty,</w:t>
      </w:r>
      <w:r w:rsidRPr="000815B7">
        <w:rPr>
          <w:b w:val="0"/>
          <w:szCs w:val="26"/>
        </w:rPr>
        <w:t xml:space="preserve"> justifying an upward departure from a presumptive sentence</w:t>
      </w:r>
      <w:r w:rsidRPr="002634B6">
        <w:rPr>
          <w:b w:val="0"/>
          <w:sz w:val="24"/>
          <w:szCs w:val="26"/>
        </w:rPr>
        <w:t>.</w:t>
      </w:r>
    </w:p>
    <w:p w:rsidR="002F058C" w:rsidRPr="002F058C" w:rsidRDefault="002F058C" w:rsidP="008F1B68"/>
    <w:p w:rsidR="002F058C" w:rsidRDefault="002F058C" w:rsidP="008F1B68">
      <w:pPr>
        <w:tabs>
          <w:tab w:val="left" w:pos="720"/>
          <w:tab w:val="left" w:pos="1440"/>
          <w:tab w:val="left" w:pos="2160"/>
        </w:tabs>
      </w:pPr>
      <w:r>
        <w:rPr>
          <w:b/>
          <w:i/>
        </w:rPr>
        <w:t>Wells v. State</w:t>
      </w:r>
      <w:r>
        <w:rPr>
          <w:b/>
        </w:rPr>
        <w:t xml:space="preserve">, 839 N.W.2d 775 (Minn. App. Dec. 2, 2013), </w:t>
      </w:r>
      <w:r>
        <w:rPr>
          <w:b/>
          <w:i/>
        </w:rPr>
        <w:t>review denied</w:t>
      </w:r>
      <w:r>
        <w:rPr>
          <w:b/>
        </w:rPr>
        <w:t xml:space="preserve"> (Minn. Feb. 18, 2014) (A13-0338).</w:t>
      </w:r>
    </w:p>
    <w:p w:rsidR="002F058C" w:rsidRPr="0020014E" w:rsidRDefault="002F058C" w:rsidP="008F1B68">
      <w:pPr>
        <w:tabs>
          <w:tab w:val="left" w:pos="720"/>
          <w:tab w:val="left" w:pos="1440"/>
          <w:tab w:val="left" w:pos="2160"/>
        </w:tabs>
      </w:pPr>
      <w:r>
        <w:tab/>
        <w:t>The presence of offender-related mitigating factors supporting a downward dispositional departure does not require the district court to stay execution of both sentences when a Minn. Stat. § 609.035 exception to multiple sentences applies.</w:t>
      </w:r>
    </w:p>
    <w:p w:rsidR="00562C73" w:rsidRDefault="00562C73" w:rsidP="008F1B68">
      <w:pPr>
        <w:pStyle w:val="Heading1"/>
        <w:keepNext w:val="0"/>
        <w:ind w:firstLine="720"/>
        <w:rPr>
          <w:b w:val="0"/>
          <w:sz w:val="24"/>
          <w:szCs w:val="26"/>
        </w:rPr>
      </w:pPr>
      <w:r w:rsidRPr="002634B6">
        <w:rPr>
          <w:b w:val="0"/>
          <w:sz w:val="24"/>
          <w:szCs w:val="26"/>
        </w:rPr>
        <w:t xml:space="preserve">  </w:t>
      </w:r>
    </w:p>
    <w:p w:rsidR="00C000BD" w:rsidRDefault="00C000BD" w:rsidP="008F1B68">
      <w:pPr>
        <w:tabs>
          <w:tab w:val="left" w:pos="720"/>
          <w:tab w:val="left" w:pos="1440"/>
          <w:tab w:val="left" w:pos="2160"/>
        </w:tabs>
        <w:rPr>
          <w:b/>
        </w:rPr>
      </w:pPr>
      <w:r>
        <w:rPr>
          <w:b/>
          <w:i/>
        </w:rPr>
        <w:t>State v. Beane</w:t>
      </w:r>
      <w:r>
        <w:rPr>
          <w:b/>
        </w:rPr>
        <w:t>, 840 N.W.2d 848 (Minn. App. Dec. 30, 2013</w:t>
      </w:r>
      <w:r w:rsidRPr="00FC13F9">
        <w:rPr>
          <w:b/>
        </w:rPr>
        <w:t xml:space="preserve">), </w:t>
      </w:r>
      <w:r w:rsidRPr="00FC13F9">
        <w:rPr>
          <w:b/>
          <w:i/>
        </w:rPr>
        <w:t xml:space="preserve">review denied </w:t>
      </w:r>
      <w:r w:rsidRPr="00FC13F9">
        <w:rPr>
          <w:b/>
        </w:rPr>
        <w:t>(Minn. Mar. 18, 2014) (</w:t>
      </w:r>
      <w:r>
        <w:rPr>
          <w:b/>
        </w:rPr>
        <w:t xml:space="preserve">A12-2222).  </w:t>
      </w:r>
    </w:p>
    <w:p w:rsidR="00C000BD" w:rsidRPr="00F87C42" w:rsidRDefault="00C000BD" w:rsidP="008F1B68">
      <w:pPr>
        <w:tabs>
          <w:tab w:val="left" w:pos="720"/>
          <w:tab w:val="left" w:pos="1440"/>
          <w:tab w:val="left" w:pos="2160"/>
        </w:tabs>
        <w:rPr>
          <w:b/>
        </w:rPr>
      </w:pPr>
      <w:r>
        <w:rPr>
          <w:szCs w:val="26"/>
        </w:rPr>
        <w:t xml:space="preserve">(See </w:t>
      </w:r>
      <w:r w:rsidRPr="006B64EC">
        <w:rPr>
          <w:szCs w:val="26"/>
        </w:rPr>
        <w:t xml:space="preserve">pages </w:t>
      </w:r>
      <w:r w:rsidR="000E001E">
        <w:rPr>
          <w:szCs w:val="26"/>
        </w:rPr>
        <w:t>16</w:t>
      </w:r>
      <w:r w:rsidRPr="006B64EC">
        <w:rPr>
          <w:szCs w:val="26"/>
        </w:rPr>
        <w:t xml:space="preserve"> and </w:t>
      </w:r>
      <w:r w:rsidR="000E001E">
        <w:rPr>
          <w:szCs w:val="26"/>
        </w:rPr>
        <w:t>24</w:t>
      </w:r>
      <w:r>
        <w:rPr>
          <w:szCs w:val="26"/>
        </w:rPr>
        <w:t xml:space="preserve"> for additional syllabus points for this case)</w:t>
      </w:r>
    </w:p>
    <w:p w:rsidR="00C000BD" w:rsidRDefault="00C000BD" w:rsidP="008F1B68">
      <w:r>
        <w:tab/>
        <w:t>3.</w:t>
      </w:r>
      <w:r>
        <w:tab/>
        <w:t>On remand for resentencing of multiple convictions, a district court may impose a sentence for a conviction that was not previously sentenced, provided that (1) the overall sentence imposed on remand is no more onerous than the overall sentence initially imposed, and (2) any new sentence for a previously sentenced conviction is no more onerous than the sentence initially imposed for that conviction.</w:t>
      </w:r>
    </w:p>
    <w:p w:rsidR="00103702" w:rsidRPr="005550DB" w:rsidRDefault="00103702" w:rsidP="008F1B68"/>
    <w:p w:rsidR="000746F3" w:rsidRDefault="000746F3" w:rsidP="008F1B68">
      <w:pPr>
        <w:tabs>
          <w:tab w:val="left" w:pos="720"/>
          <w:tab w:val="left" w:pos="1440"/>
          <w:tab w:val="left" w:pos="2160"/>
        </w:tabs>
      </w:pPr>
      <w:r>
        <w:rPr>
          <w:b/>
          <w:i/>
        </w:rPr>
        <w:t>Orozco v. State</w:t>
      </w:r>
      <w:r>
        <w:rPr>
          <w:b/>
        </w:rPr>
        <w:t>, 841 N</w:t>
      </w:r>
      <w:r w:rsidRPr="00FF2EB2">
        <w:rPr>
          <w:b/>
        </w:rPr>
        <w:t xml:space="preserve">.W.2d 632 (Minn. App. Jan. 6, 2014), </w:t>
      </w:r>
      <w:r w:rsidRPr="00FF2EB2">
        <w:rPr>
          <w:b/>
          <w:i/>
        </w:rPr>
        <w:t xml:space="preserve">review granted </w:t>
      </w:r>
      <w:r w:rsidRPr="00FF2EB2">
        <w:rPr>
          <w:b/>
        </w:rPr>
        <w:t>(Minn. Mar. 18, 2014)</w:t>
      </w:r>
      <w:r>
        <w:rPr>
          <w:b/>
        </w:rPr>
        <w:t xml:space="preserve"> (A13-0427).</w:t>
      </w:r>
    </w:p>
    <w:p w:rsidR="000746F3" w:rsidRDefault="00FF4D59" w:rsidP="008F1B68">
      <w:pPr>
        <w:tabs>
          <w:tab w:val="left" w:pos="720"/>
          <w:tab w:val="left" w:pos="1440"/>
          <w:tab w:val="left" w:pos="2160"/>
        </w:tabs>
        <w:rPr>
          <w:b/>
        </w:rPr>
      </w:pPr>
      <w:r>
        <w:rPr>
          <w:szCs w:val="26"/>
        </w:rPr>
        <w:tab/>
      </w:r>
      <w:r w:rsidR="000746F3">
        <w:rPr>
          <w:szCs w:val="26"/>
        </w:rPr>
        <w:t xml:space="preserve">A </w:t>
      </w:r>
      <w:r w:rsidR="000746F3" w:rsidRPr="00E31460">
        <w:rPr>
          <w:szCs w:val="26"/>
        </w:rPr>
        <w:t>motion to correct a sentence under Minn. R. Crim. P. 27.03, subd</w:t>
      </w:r>
      <w:r w:rsidR="000746F3">
        <w:rPr>
          <w:szCs w:val="26"/>
        </w:rPr>
        <w:t>.</w:t>
      </w:r>
      <w:r w:rsidR="000746F3" w:rsidRPr="00E31460">
        <w:rPr>
          <w:szCs w:val="26"/>
        </w:rPr>
        <w:t xml:space="preserve"> 9, </w:t>
      </w:r>
      <w:r w:rsidR="000746F3">
        <w:rPr>
          <w:szCs w:val="26"/>
        </w:rPr>
        <w:t xml:space="preserve">is properly </w:t>
      </w:r>
      <w:r w:rsidR="000746F3" w:rsidRPr="00E31460">
        <w:rPr>
          <w:szCs w:val="26"/>
        </w:rPr>
        <w:t>construe</w:t>
      </w:r>
      <w:r w:rsidR="000746F3">
        <w:rPr>
          <w:szCs w:val="26"/>
        </w:rPr>
        <w:t>d</w:t>
      </w:r>
      <w:r w:rsidR="000746F3" w:rsidRPr="00E31460">
        <w:rPr>
          <w:szCs w:val="26"/>
        </w:rPr>
        <w:t xml:space="preserve"> as a petition for postconviction relief when </w:t>
      </w:r>
      <w:r w:rsidR="000746F3">
        <w:rPr>
          <w:szCs w:val="26"/>
        </w:rPr>
        <w:t>the sentence was imposed pursuant to a plea agreement and granting the requested correction would allow the defendant to retain the benefit of a reduced charge and avoid the burden of the agreed-upon sentence</w:t>
      </w:r>
      <w:r w:rsidR="00052B53">
        <w:rPr>
          <w:szCs w:val="26"/>
        </w:rPr>
        <w:t>.</w:t>
      </w:r>
    </w:p>
    <w:p w:rsidR="00C000BD" w:rsidRDefault="00C000BD" w:rsidP="008F1B68">
      <w:pPr>
        <w:rPr>
          <w:szCs w:val="26"/>
        </w:rPr>
      </w:pPr>
    </w:p>
    <w:p w:rsidR="000746F3" w:rsidRDefault="000746F3" w:rsidP="008F1B68">
      <w:pPr>
        <w:tabs>
          <w:tab w:val="left" w:pos="720"/>
          <w:tab w:val="left" w:pos="1440"/>
          <w:tab w:val="left" w:pos="2160"/>
        </w:tabs>
      </w:pPr>
      <w:r>
        <w:rPr>
          <w:b/>
          <w:i/>
        </w:rPr>
        <w:t>State v. Miller</w:t>
      </w:r>
      <w:r>
        <w:rPr>
          <w:b/>
        </w:rPr>
        <w:t xml:space="preserve">, 842 N.W.2d 474 (Minn. App. Feb. 10, 2014), </w:t>
      </w:r>
      <w:r>
        <w:rPr>
          <w:b/>
          <w:i/>
        </w:rPr>
        <w:t>review denied</w:t>
      </w:r>
      <w:r>
        <w:rPr>
          <w:b/>
        </w:rPr>
        <w:t xml:space="preserve"> (Minn. </w:t>
      </w:r>
      <w:r w:rsidR="00103702">
        <w:rPr>
          <w:b/>
        </w:rPr>
        <w:t>Apr</w:t>
      </w:r>
      <w:r w:rsidR="00FF4D59">
        <w:rPr>
          <w:b/>
        </w:rPr>
        <w:t>.</w:t>
      </w:r>
      <w:r>
        <w:rPr>
          <w:b/>
        </w:rPr>
        <w:t xml:space="preserve"> 15, 2014) (A13-0264).</w:t>
      </w:r>
    </w:p>
    <w:p w:rsidR="000746F3" w:rsidRDefault="000746F3" w:rsidP="008F1B68">
      <w:pPr>
        <w:pStyle w:val="Heading1"/>
        <w:keepNext w:val="0"/>
        <w:numPr>
          <w:ilvl w:val="0"/>
          <w:numId w:val="38"/>
        </w:numPr>
        <w:ind w:left="0" w:firstLine="720"/>
        <w:rPr>
          <w:b w:val="0"/>
          <w:szCs w:val="26"/>
        </w:rPr>
      </w:pPr>
      <w:r>
        <w:rPr>
          <w:b w:val="0"/>
          <w:szCs w:val="26"/>
        </w:rPr>
        <w:t>When the district court finds that multiple assailants acted together and that their separate but indivisible conduct inflicted various injuries on their assault victim, it does not abuse its discretion by holding the defendants jointly and severally liable for restitution.</w:t>
      </w:r>
    </w:p>
    <w:p w:rsidR="000746F3" w:rsidRDefault="000746F3" w:rsidP="008F1B68">
      <w:pPr>
        <w:pStyle w:val="ListParagraph"/>
        <w:numPr>
          <w:ilvl w:val="0"/>
          <w:numId w:val="38"/>
        </w:numPr>
        <w:spacing w:line="240" w:lineRule="auto"/>
        <w:ind w:left="0" w:firstLine="720"/>
        <w:jc w:val="both"/>
      </w:pPr>
      <w:r>
        <w:t>The district court acts within its discretion by sua sponte ordering a rehearing on restitution and compelling the state to produce new witnesses necessary for the district court to make adequate findings to vindicate the victim’s statutory right to restitution.</w:t>
      </w:r>
    </w:p>
    <w:p w:rsidR="000746F3" w:rsidRPr="006E3109" w:rsidRDefault="000746F3" w:rsidP="008F1B68">
      <w:pPr>
        <w:pStyle w:val="ListParagraph"/>
        <w:spacing w:line="240" w:lineRule="auto"/>
        <w:jc w:val="both"/>
      </w:pPr>
    </w:p>
    <w:p w:rsidR="00C000BD" w:rsidRDefault="00C000BD" w:rsidP="008F1B68">
      <w:pPr>
        <w:rPr>
          <w:b/>
        </w:rPr>
      </w:pPr>
      <w:r>
        <w:rPr>
          <w:b/>
          <w:i/>
        </w:rPr>
        <w:lastRenderedPageBreak/>
        <w:t xml:space="preserve">State v. </w:t>
      </w:r>
      <w:r w:rsidR="004F0817">
        <w:rPr>
          <w:b/>
          <w:i/>
        </w:rPr>
        <w:t xml:space="preserve">Ge </w:t>
      </w:r>
      <w:r>
        <w:rPr>
          <w:b/>
          <w:i/>
        </w:rPr>
        <w:t>Her</w:t>
      </w:r>
      <w:r>
        <w:rPr>
          <w:b/>
        </w:rPr>
        <w:t xml:space="preserve">, 843 N.W.2d 590 (Minn. App. Mar. 10, 2014), </w:t>
      </w:r>
      <w:r w:rsidRPr="00980F5C">
        <w:rPr>
          <w:b/>
          <w:i/>
        </w:rPr>
        <w:t>review granted</w:t>
      </w:r>
      <w:r w:rsidRPr="00980F5C">
        <w:rPr>
          <w:b/>
        </w:rPr>
        <w:t xml:space="preserve"> (Minn. Apr. 29, 2014</w:t>
      </w:r>
      <w:r w:rsidRPr="00DB25F3">
        <w:rPr>
          <w:b/>
        </w:rPr>
        <w:t>)</w:t>
      </w:r>
      <w:r>
        <w:rPr>
          <w:b/>
        </w:rPr>
        <w:t xml:space="preserve"> (A13-1586).</w:t>
      </w:r>
    </w:p>
    <w:p w:rsidR="00C000BD" w:rsidRDefault="00C000BD" w:rsidP="008F1B68">
      <w:pPr>
        <w:pStyle w:val="Heading1"/>
        <w:keepNext w:val="0"/>
        <w:ind w:firstLine="720"/>
        <w:rPr>
          <w:szCs w:val="26"/>
        </w:rPr>
      </w:pPr>
      <w:r>
        <w:rPr>
          <w:b w:val="0"/>
          <w:szCs w:val="26"/>
        </w:rPr>
        <w:t>1.</w:t>
      </w:r>
      <w:r>
        <w:rPr>
          <w:b w:val="0"/>
          <w:szCs w:val="26"/>
        </w:rPr>
        <w:tab/>
        <w:t xml:space="preserve">A conditional-release term imposed under Minn. Stat. § 243.166, subd. 5a, is part of the statutory-maximum sentence for risk-level-III offenders convicted of violating registration requirements and does not implicate the rules set forth in </w:t>
      </w:r>
      <w:r w:rsidRPr="00BA0816">
        <w:rPr>
          <w:b w:val="0"/>
          <w:i/>
          <w:szCs w:val="26"/>
        </w:rPr>
        <w:t>Apprendi</w:t>
      </w:r>
      <w:r>
        <w:rPr>
          <w:b w:val="0"/>
          <w:szCs w:val="26"/>
        </w:rPr>
        <w:t xml:space="preserve"> and </w:t>
      </w:r>
      <w:r w:rsidRPr="00BA0816">
        <w:rPr>
          <w:b w:val="0"/>
          <w:i/>
          <w:szCs w:val="26"/>
        </w:rPr>
        <w:t>Blakely</w:t>
      </w:r>
      <w:r>
        <w:rPr>
          <w:b w:val="0"/>
          <w:szCs w:val="26"/>
        </w:rPr>
        <w:t>.</w:t>
      </w:r>
    </w:p>
    <w:p w:rsidR="00C000BD" w:rsidRPr="002F058C" w:rsidRDefault="00C000BD" w:rsidP="008F1B68">
      <w:pPr>
        <w:pStyle w:val="Heading1"/>
        <w:keepNext w:val="0"/>
        <w:ind w:firstLine="720"/>
        <w:rPr>
          <w:szCs w:val="26"/>
        </w:rPr>
      </w:pPr>
      <w:r>
        <w:rPr>
          <w:b w:val="0"/>
          <w:szCs w:val="26"/>
        </w:rPr>
        <w:t>2.</w:t>
      </w:r>
      <w:r>
        <w:rPr>
          <w:b w:val="0"/>
          <w:szCs w:val="26"/>
        </w:rPr>
        <w:tab/>
        <w:t>An offender’s designation as risk level III under Minn. Stat. § 244.052, subd. 3(e),</w:t>
      </w:r>
      <w:r w:rsidRPr="003A7304">
        <w:rPr>
          <w:b w:val="0"/>
          <w:szCs w:val="26"/>
        </w:rPr>
        <w:t xml:space="preserve"> is analogous to a prior conviction or probation status</w:t>
      </w:r>
      <w:r>
        <w:rPr>
          <w:b w:val="0"/>
          <w:szCs w:val="26"/>
        </w:rPr>
        <w:t xml:space="preserve"> and </w:t>
      </w:r>
      <w:r w:rsidRPr="003A7304">
        <w:rPr>
          <w:b w:val="0"/>
          <w:szCs w:val="26"/>
        </w:rPr>
        <w:t>is not a fact that is constitutionally required to be found by a jury</w:t>
      </w:r>
      <w:r>
        <w:rPr>
          <w:szCs w:val="26"/>
        </w:rPr>
        <w:t>.</w:t>
      </w:r>
    </w:p>
    <w:p w:rsidR="00C000BD" w:rsidRDefault="00C000BD" w:rsidP="008F1B68">
      <w:pPr>
        <w:outlineLvl w:val="3"/>
        <w:rPr>
          <w:b/>
          <w:bCs/>
          <w:i/>
          <w:szCs w:val="26"/>
        </w:rPr>
      </w:pPr>
    </w:p>
    <w:p w:rsidR="00C000BD" w:rsidRDefault="00C000BD" w:rsidP="008F1B68">
      <w:pPr>
        <w:rPr>
          <w:rFonts w:hAnsi="Symbol"/>
          <w:b/>
        </w:rPr>
      </w:pPr>
      <w:r w:rsidRPr="00955EED">
        <w:rPr>
          <w:rFonts w:hAnsi="Symbol"/>
          <w:b/>
          <w:i/>
        </w:rPr>
        <w:t>State v. Riggs</w:t>
      </w:r>
      <w:r>
        <w:rPr>
          <w:rFonts w:hAnsi="Symbol"/>
          <w:b/>
        </w:rPr>
        <w:t xml:space="preserve">, 845 </w:t>
      </w:r>
      <w:r w:rsidRPr="003670DF">
        <w:rPr>
          <w:rFonts w:hAnsi="Symbol"/>
          <w:b/>
        </w:rPr>
        <w:t>N.W.2d</w:t>
      </w:r>
      <w:r>
        <w:rPr>
          <w:rFonts w:hAnsi="Symbol"/>
          <w:b/>
        </w:rPr>
        <w:t xml:space="preserve"> 236 (Minn. App. Apr. 7, 2014), </w:t>
      </w:r>
      <w:r w:rsidR="004F0817">
        <w:rPr>
          <w:rFonts w:hAnsi="Symbol"/>
          <w:b/>
          <w:i/>
        </w:rPr>
        <w:t>review granted</w:t>
      </w:r>
      <w:r>
        <w:rPr>
          <w:rFonts w:hAnsi="Symbol"/>
          <w:b/>
          <w:i/>
        </w:rPr>
        <w:t xml:space="preserve"> </w:t>
      </w:r>
      <w:r w:rsidR="004F0817">
        <w:rPr>
          <w:rFonts w:hAnsi="Symbol"/>
          <w:b/>
        </w:rPr>
        <w:t>(Minn. June 1</w:t>
      </w:r>
      <w:r>
        <w:rPr>
          <w:rFonts w:hAnsi="Symbol"/>
          <w:b/>
        </w:rPr>
        <w:t>7, 2014) (A13-1189).</w:t>
      </w:r>
    </w:p>
    <w:p w:rsidR="00C000BD" w:rsidRDefault="00C000BD" w:rsidP="008F1B68">
      <w:pPr>
        <w:pStyle w:val="Heading1"/>
        <w:keepNext w:val="0"/>
        <w:ind w:firstLine="720"/>
        <w:rPr>
          <w:b w:val="0"/>
        </w:rPr>
      </w:pPr>
      <w:r>
        <w:rPr>
          <w:b w:val="0"/>
          <w:szCs w:val="26"/>
        </w:rPr>
        <w:t xml:space="preserve">When determining whether to order restitution and the amount of restitution under Minn. Stat. </w:t>
      </w:r>
      <w:r w:rsidRPr="001A0A57">
        <w:rPr>
          <w:b w:val="0"/>
        </w:rPr>
        <w:t>§ </w:t>
      </w:r>
      <w:r>
        <w:rPr>
          <w:b w:val="0"/>
        </w:rPr>
        <w:t>611A.045, subd. 1(a) (2010), the district court shall consider only the amount of economic loss sustained by the victim as a result of the offense and the defendant’s income, resources, and obligations.</w:t>
      </w:r>
    </w:p>
    <w:p w:rsidR="002F058C" w:rsidRPr="002F058C" w:rsidRDefault="002F058C" w:rsidP="008F1B68"/>
    <w:p w:rsidR="002F058C" w:rsidRDefault="002F058C" w:rsidP="008F1B68">
      <w:pPr>
        <w:rPr>
          <w:rFonts w:hAnsi="Symbol"/>
          <w:b/>
        </w:rPr>
      </w:pPr>
      <w:r>
        <w:rPr>
          <w:rFonts w:hAnsi="Symbol"/>
          <w:b/>
          <w:i/>
        </w:rPr>
        <w:t>Washington v. State</w:t>
      </w:r>
      <w:r>
        <w:rPr>
          <w:rFonts w:hAnsi="Symbol"/>
          <w:b/>
        </w:rPr>
        <w:t xml:space="preserve">, 845 </w:t>
      </w:r>
      <w:r w:rsidRPr="003670DF">
        <w:rPr>
          <w:rFonts w:hAnsi="Symbol"/>
          <w:b/>
        </w:rPr>
        <w:t>N.W.2d</w:t>
      </w:r>
      <w:r>
        <w:rPr>
          <w:rFonts w:hAnsi="Symbol"/>
          <w:b/>
        </w:rPr>
        <w:t xml:space="preserve"> 205 (Minn. App. Apr. 7, 2014) (A13-1524).</w:t>
      </w:r>
    </w:p>
    <w:p w:rsidR="002F058C" w:rsidRPr="00955EED" w:rsidRDefault="002F058C" w:rsidP="008F1B68">
      <w:pPr>
        <w:ind w:firstLine="720"/>
        <w:rPr>
          <w:rFonts w:hAnsi="Symbol"/>
          <w:b/>
        </w:rPr>
      </w:pPr>
      <w:r>
        <w:rPr>
          <w:szCs w:val="26"/>
        </w:rPr>
        <w:t>A</w:t>
      </w:r>
      <w:r w:rsidRPr="00A46259">
        <w:t xml:space="preserve">n offender may </w:t>
      </w:r>
      <w:r>
        <w:t xml:space="preserve">file a motion to </w:t>
      </w:r>
      <w:r w:rsidRPr="00A46259">
        <w:t>correct</w:t>
      </w:r>
      <w:r>
        <w:t xml:space="preserve"> </w:t>
      </w:r>
      <w:r w:rsidRPr="00A46259">
        <w:t xml:space="preserve">sentence pursuant to the first sentence of rule 27.03, subdivision 9, only if the offender challenges the sentence on the ground that it is </w:t>
      </w:r>
      <w:r>
        <w:t xml:space="preserve">“unauthorized by law” </w:t>
      </w:r>
      <w:r w:rsidRPr="000E509D">
        <w:t>in the sense that the sentence is contrary to a</w:t>
      </w:r>
      <w:r>
        <w:t>n applicable</w:t>
      </w:r>
      <w:r w:rsidRPr="000E509D">
        <w:t xml:space="preserve"> statute or other </w:t>
      </w:r>
      <w:r>
        <w:t xml:space="preserve">applicable </w:t>
      </w:r>
      <w:r w:rsidRPr="000E509D">
        <w:t>law.</w:t>
      </w:r>
      <w:r>
        <w:t xml:space="preserve">  </w:t>
      </w:r>
      <w:r w:rsidRPr="00A46259">
        <w:t xml:space="preserve">If an offender wishes to challenge </w:t>
      </w:r>
      <w:r>
        <w:t xml:space="preserve">a </w:t>
      </w:r>
      <w:r w:rsidRPr="00A46259">
        <w:t xml:space="preserve">sentence </w:t>
      </w:r>
      <w:r>
        <w:t xml:space="preserve">for </w:t>
      </w:r>
      <w:r w:rsidRPr="00A46259">
        <w:t xml:space="preserve">any other </w:t>
      </w:r>
      <w:r>
        <w:t>reason</w:t>
      </w:r>
      <w:r w:rsidRPr="00A46259">
        <w:t xml:space="preserve">, the offender </w:t>
      </w:r>
      <w:r>
        <w:t>must</w:t>
      </w:r>
      <w:r w:rsidRPr="00A46259">
        <w:t xml:space="preserve"> do so pursuant to chapter 590 of the Minnesota Statutes.</w:t>
      </w:r>
    </w:p>
    <w:p w:rsidR="00C000BD" w:rsidRDefault="00C000BD" w:rsidP="008F1B68">
      <w:pPr>
        <w:outlineLvl w:val="3"/>
        <w:rPr>
          <w:b/>
          <w:bCs/>
          <w:i/>
          <w:szCs w:val="26"/>
        </w:rPr>
      </w:pPr>
    </w:p>
    <w:p w:rsidR="00C000BD" w:rsidRDefault="00C000BD" w:rsidP="008F1B68">
      <w:pPr>
        <w:rPr>
          <w:rFonts w:hAnsi="Symbol"/>
          <w:b/>
        </w:rPr>
      </w:pPr>
      <w:r>
        <w:rPr>
          <w:rFonts w:hAnsi="Symbol"/>
          <w:b/>
          <w:i/>
        </w:rPr>
        <w:t>State v. Ward</w:t>
      </w:r>
      <w:r>
        <w:rPr>
          <w:rFonts w:hAnsi="Symbol"/>
          <w:b/>
        </w:rPr>
        <w:t xml:space="preserve">, </w:t>
      </w:r>
      <w:r w:rsidR="004F0817">
        <w:rPr>
          <w:b/>
        </w:rPr>
        <w:t>847</w:t>
      </w:r>
      <w:r w:rsidRPr="000C06F3">
        <w:rPr>
          <w:b/>
        </w:rPr>
        <w:t xml:space="preserve"> N.W.2d </w:t>
      </w:r>
      <w:r w:rsidR="004F0817">
        <w:rPr>
          <w:b/>
        </w:rPr>
        <w:t>29</w:t>
      </w:r>
      <w:r w:rsidRPr="000C06F3">
        <w:rPr>
          <w:b/>
        </w:rPr>
        <w:t xml:space="preserve"> </w:t>
      </w:r>
      <w:r>
        <w:rPr>
          <w:rFonts w:hAnsi="Symbol"/>
          <w:b/>
        </w:rPr>
        <w:t xml:space="preserve">(Minn. App. Apr. 14, 2014), </w:t>
      </w:r>
      <w:r w:rsidR="004F0817">
        <w:rPr>
          <w:rFonts w:hAnsi="Symbol"/>
          <w:b/>
          <w:i/>
        </w:rPr>
        <w:t>review granted</w:t>
      </w:r>
      <w:r w:rsidR="00A6768A">
        <w:rPr>
          <w:rFonts w:hAnsi="Symbol"/>
          <w:b/>
          <w:i/>
        </w:rPr>
        <w:t xml:space="preserve"> </w:t>
      </w:r>
      <w:r w:rsidR="004F0817">
        <w:rPr>
          <w:rFonts w:hAnsi="Symbol"/>
          <w:b/>
        </w:rPr>
        <w:t>(Minn. June 17</w:t>
      </w:r>
      <w:r>
        <w:rPr>
          <w:rFonts w:hAnsi="Symbol"/>
          <w:b/>
        </w:rPr>
        <w:t>, 2014) (A13-1433).</w:t>
      </w:r>
    </w:p>
    <w:p w:rsidR="00C000BD" w:rsidRPr="00A57700" w:rsidRDefault="00C000BD" w:rsidP="008F1B68">
      <w:pPr>
        <w:ind w:firstLine="720"/>
        <w:rPr>
          <w:rFonts w:hAnsi="Symbol"/>
          <w:b/>
        </w:rPr>
      </w:pPr>
      <w:r>
        <w:t>S</w:t>
      </w:r>
      <w:r w:rsidRPr="0052362E">
        <w:t xml:space="preserve">upervised release </w:t>
      </w:r>
      <w:r>
        <w:t>is the</w:t>
      </w:r>
      <w:r w:rsidRPr="0052362E">
        <w:t xml:space="preserve"> portion of an executed sentence when the offender is</w:t>
      </w:r>
      <w:r>
        <w:t xml:space="preserve"> released</w:t>
      </w:r>
      <w:r w:rsidRPr="0052362E">
        <w:t xml:space="preserve"> in</w:t>
      </w:r>
      <w:r>
        <w:t>to</w:t>
      </w:r>
      <w:r w:rsidRPr="0052362E">
        <w:t xml:space="preserve"> the community under supervision.  </w:t>
      </w:r>
      <w:r>
        <w:t>When an</w:t>
      </w:r>
      <w:r w:rsidRPr="0052362E">
        <w:t xml:space="preserve"> offender</w:t>
      </w:r>
      <w:r>
        <w:t>’s</w:t>
      </w:r>
      <w:r w:rsidRPr="0052362E">
        <w:t xml:space="preserve"> supervised release is revoked </w:t>
      </w:r>
      <w:r>
        <w:t>and the offender is returned to prison</w:t>
      </w:r>
      <w:r w:rsidRPr="0052362E">
        <w:t xml:space="preserve">, </w:t>
      </w:r>
      <w:r>
        <w:t xml:space="preserve">the offender is not serving on supervised release, and </w:t>
      </w:r>
      <w:r w:rsidRPr="0052362E">
        <w:t xml:space="preserve">the offender’s </w:t>
      </w:r>
      <w:r>
        <w:t xml:space="preserve">conditional </w:t>
      </w:r>
      <w:r w:rsidRPr="0052362E">
        <w:t>release s</w:t>
      </w:r>
      <w:r>
        <w:t>hould not be</w:t>
      </w:r>
      <w:r w:rsidRPr="0052362E">
        <w:t xml:space="preserve"> </w:t>
      </w:r>
      <w:r>
        <w:t>r</w:t>
      </w:r>
      <w:r w:rsidRPr="0052362E">
        <w:t>educ</w:t>
      </w:r>
      <w:r>
        <w:t>ed by the time spent in prison after supervised release was revoked.</w:t>
      </w:r>
    </w:p>
    <w:p w:rsidR="00C000BD" w:rsidRDefault="00C000BD" w:rsidP="008F1B68">
      <w:pPr>
        <w:outlineLvl w:val="3"/>
        <w:rPr>
          <w:szCs w:val="26"/>
        </w:rPr>
      </w:pPr>
    </w:p>
    <w:p w:rsidR="00410C10" w:rsidRDefault="00410C10" w:rsidP="008F1B68">
      <w:pPr>
        <w:pStyle w:val="FootnoteText"/>
        <w:tabs>
          <w:tab w:val="left" w:pos="720"/>
          <w:tab w:val="left" w:pos="1440"/>
          <w:tab w:val="left" w:pos="2160"/>
        </w:tabs>
        <w:rPr>
          <w:b/>
          <w:szCs w:val="26"/>
        </w:rPr>
      </w:pPr>
      <w:r>
        <w:rPr>
          <w:b/>
          <w:i/>
          <w:szCs w:val="26"/>
        </w:rPr>
        <w:t>State v. Ayala-Leyva</w:t>
      </w:r>
      <w:r>
        <w:rPr>
          <w:b/>
          <w:szCs w:val="26"/>
        </w:rPr>
        <w:t>, 848 N.W.2d 546, (Minn. App. May 19</w:t>
      </w:r>
      <w:r w:rsidR="00FF4D59">
        <w:rPr>
          <w:b/>
          <w:szCs w:val="26"/>
        </w:rPr>
        <w:t>,</w:t>
      </w:r>
      <w:r>
        <w:rPr>
          <w:b/>
          <w:szCs w:val="26"/>
        </w:rPr>
        <w:t xml:space="preserve"> 2014), </w:t>
      </w:r>
      <w:r w:rsidR="00EB412B">
        <w:rPr>
          <w:b/>
          <w:i/>
          <w:szCs w:val="26"/>
        </w:rPr>
        <w:t xml:space="preserve">review granted </w:t>
      </w:r>
      <w:r>
        <w:rPr>
          <w:b/>
          <w:szCs w:val="26"/>
        </w:rPr>
        <w:t>(</w:t>
      </w:r>
      <w:r w:rsidR="00EF449C">
        <w:rPr>
          <w:b/>
          <w:szCs w:val="26"/>
        </w:rPr>
        <w:t xml:space="preserve">Minn. </w:t>
      </w:r>
      <w:r>
        <w:rPr>
          <w:b/>
          <w:szCs w:val="26"/>
        </w:rPr>
        <w:t xml:space="preserve">Aug. 5, 2014) (A13-0401).  </w:t>
      </w:r>
    </w:p>
    <w:p w:rsidR="00410C10" w:rsidRPr="00FF4D59" w:rsidRDefault="00410C10" w:rsidP="008F1B68">
      <w:pPr>
        <w:suppressAutoHyphens w:val="0"/>
        <w:autoSpaceDE w:val="0"/>
        <w:autoSpaceDN w:val="0"/>
        <w:adjustRightInd w:val="0"/>
        <w:rPr>
          <w:color w:val="000000"/>
          <w:szCs w:val="26"/>
        </w:rPr>
      </w:pPr>
      <w:r w:rsidRPr="00FF4D59">
        <w:rPr>
          <w:color w:val="000000"/>
          <w:szCs w:val="26"/>
        </w:rPr>
        <w:t xml:space="preserve">(See page </w:t>
      </w:r>
      <w:r w:rsidR="000E001E">
        <w:rPr>
          <w:color w:val="000000"/>
          <w:szCs w:val="26"/>
        </w:rPr>
        <w:t>25</w:t>
      </w:r>
      <w:r w:rsidRPr="00FF4D59">
        <w:rPr>
          <w:color w:val="000000"/>
          <w:szCs w:val="26"/>
        </w:rPr>
        <w:t xml:space="preserve"> for additional syllabus points for this case)</w:t>
      </w:r>
    </w:p>
    <w:p w:rsidR="00410C10" w:rsidRPr="009C7DCF" w:rsidRDefault="00410C10" w:rsidP="008F1B68">
      <w:pPr>
        <w:pStyle w:val="FootnoteText"/>
        <w:tabs>
          <w:tab w:val="left" w:pos="720"/>
          <w:tab w:val="left" w:pos="1440"/>
          <w:tab w:val="left" w:pos="2160"/>
        </w:tabs>
        <w:ind w:firstLine="720"/>
        <w:rPr>
          <w:b/>
          <w:szCs w:val="26"/>
        </w:rPr>
      </w:pPr>
      <w:r w:rsidRPr="009C7DCF">
        <w:rPr>
          <w:color w:val="000000"/>
          <w:szCs w:val="26"/>
        </w:rPr>
        <w:t>3.</w:t>
      </w:r>
      <w:r>
        <w:rPr>
          <w:color w:val="000000"/>
          <w:szCs w:val="26"/>
        </w:rPr>
        <w:tab/>
      </w:r>
      <w:r w:rsidRPr="009C7DCF">
        <w:rPr>
          <w:color w:val="000000"/>
          <w:szCs w:val="26"/>
        </w:rPr>
        <w:t xml:space="preserve">A greater-than-double durational sentencing departure must be supported by severe aggravating factors, and factual findings to support those factors must be found by a sentencing jury absent waiver of </w:t>
      </w:r>
      <w:r w:rsidRPr="009C7DCF">
        <w:rPr>
          <w:i/>
          <w:iCs/>
          <w:color w:val="000000"/>
          <w:szCs w:val="26"/>
        </w:rPr>
        <w:t xml:space="preserve">Blakely </w:t>
      </w:r>
      <w:r w:rsidRPr="009C7DCF">
        <w:rPr>
          <w:color w:val="000000"/>
          <w:szCs w:val="26"/>
        </w:rPr>
        <w:t>proceedings by a defendant.</w:t>
      </w:r>
    </w:p>
    <w:p w:rsidR="00410C10" w:rsidRDefault="00410C10" w:rsidP="008F1B68">
      <w:pPr>
        <w:outlineLvl w:val="0"/>
      </w:pPr>
    </w:p>
    <w:p w:rsidR="00AA1609" w:rsidRDefault="00AA1609" w:rsidP="008F1B68">
      <w:pPr>
        <w:outlineLvl w:val="0"/>
      </w:pPr>
    </w:p>
    <w:p w:rsidR="00B77BF8" w:rsidRPr="00B77BF8" w:rsidRDefault="00B77BF8" w:rsidP="008F1B68">
      <w:pPr>
        <w:outlineLvl w:val="0"/>
        <w:rPr>
          <w:b/>
        </w:rPr>
      </w:pPr>
      <w:r>
        <w:rPr>
          <w:b/>
          <w:i/>
        </w:rPr>
        <w:lastRenderedPageBreak/>
        <w:t>State v. Frank</w:t>
      </w:r>
      <w:r w:rsidR="00040021">
        <w:rPr>
          <w:b/>
          <w:i/>
        </w:rPr>
        <w:t>l</w:t>
      </w:r>
      <w:r>
        <w:rPr>
          <w:b/>
          <w:i/>
        </w:rPr>
        <w:t>in</w:t>
      </w:r>
      <w:r>
        <w:rPr>
          <w:b/>
        </w:rPr>
        <w:t>, 847 N.W.2d 63 (Minn. App. May 27, 2014)</w:t>
      </w:r>
      <w:r w:rsidR="008C5291">
        <w:rPr>
          <w:b/>
        </w:rPr>
        <w:t xml:space="preserve">, </w:t>
      </w:r>
      <w:r w:rsidR="008C5291">
        <w:rPr>
          <w:b/>
          <w:i/>
        </w:rPr>
        <w:t xml:space="preserve">review granted </w:t>
      </w:r>
      <w:r w:rsidR="008C5291">
        <w:rPr>
          <w:b/>
        </w:rPr>
        <w:t>(</w:t>
      </w:r>
      <w:r w:rsidR="00EF449C">
        <w:rPr>
          <w:b/>
        </w:rPr>
        <w:t xml:space="preserve">Minn. </w:t>
      </w:r>
      <w:r w:rsidR="008C5291">
        <w:rPr>
          <w:b/>
        </w:rPr>
        <w:t xml:space="preserve">Aug. 5, 2014) </w:t>
      </w:r>
      <w:r>
        <w:rPr>
          <w:b/>
        </w:rPr>
        <w:t xml:space="preserve">(A13-1129).  </w:t>
      </w:r>
    </w:p>
    <w:p w:rsidR="00B77BF8" w:rsidRPr="00B77BF8" w:rsidRDefault="00B77BF8" w:rsidP="008F1B68">
      <w:pPr>
        <w:ind w:firstLine="720"/>
        <w:outlineLvl w:val="0"/>
        <w:rPr>
          <w:b/>
        </w:rPr>
      </w:pPr>
      <w:r w:rsidRPr="00B77BF8">
        <w:rPr>
          <w:color w:val="000000"/>
          <w:szCs w:val="26"/>
        </w:rPr>
        <w:t>A felony conviction that is deemed to be a conviction for a misdemeanor under Minn. Stat. § 609.13, subd. 1(2) (2012), is not treated as a prior felony conviction when applying the career-offender statute, Minn. Stat. § 609.1095, subd. 4 (2012).</w:t>
      </w:r>
    </w:p>
    <w:p w:rsidR="00C000BD" w:rsidRDefault="00C000BD" w:rsidP="008F1B68">
      <w:pPr>
        <w:outlineLvl w:val="0"/>
        <w:rPr>
          <w:b/>
          <w:snapToGrid w:val="0"/>
          <w:u w:val="single"/>
        </w:rPr>
      </w:pPr>
    </w:p>
    <w:p w:rsidR="00F61499" w:rsidRPr="00F61499" w:rsidRDefault="00F61499" w:rsidP="008F1B68">
      <w:pPr>
        <w:outlineLvl w:val="0"/>
        <w:rPr>
          <w:b/>
          <w:snapToGrid w:val="0"/>
        </w:rPr>
      </w:pPr>
      <w:r>
        <w:rPr>
          <w:b/>
          <w:i/>
          <w:snapToGrid w:val="0"/>
        </w:rPr>
        <w:t xml:space="preserve">Maiers v. </w:t>
      </w:r>
      <w:r w:rsidR="000F753D">
        <w:rPr>
          <w:b/>
          <w:i/>
          <w:snapToGrid w:val="0"/>
        </w:rPr>
        <w:t>Comm’r of Corrections</w:t>
      </w:r>
      <w:r>
        <w:rPr>
          <w:b/>
          <w:snapToGrid w:val="0"/>
        </w:rPr>
        <w:t xml:space="preserve">, 847 N.W.2d 524 (Minn. App. June 2, 2014), </w:t>
      </w:r>
      <w:r>
        <w:rPr>
          <w:b/>
          <w:i/>
          <w:snapToGrid w:val="0"/>
        </w:rPr>
        <w:t xml:space="preserve">review denied </w:t>
      </w:r>
      <w:r>
        <w:rPr>
          <w:b/>
          <w:snapToGrid w:val="0"/>
        </w:rPr>
        <w:t>(</w:t>
      </w:r>
      <w:r w:rsidR="00EF449C">
        <w:rPr>
          <w:b/>
          <w:snapToGrid w:val="0"/>
        </w:rPr>
        <w:t xml:space="preserve">Minn. </w:t>
      </w:r>
      <w:r>
        <w:rPr>
          <w:b/>
          <w:snapToGrid w:val="0"/>
        </w:rPr>
        <w:t xml:space="preserve">Aug. 19, 2014) (A13-1956).  </w:t>
      </w:r>
    </w:p>
    <w:p w:rsidR="00F61499" w:rsidRDefault="00F61499" w:rsidP="008F1B68">
      <w:pPr>
        <w:ind w:firstLine="720"/>
        <w:outlineLvl w:val="0"/>
        <w:rPr>
          <w:szCs w:val="26"/>
        </w:rPr>
      </w:pPr>
      <w:r w:rsidRPr="00F61499">
        <w:rPr>
          <w:color w:val="000000"/>
          <w:szCs w:val="26"/>
        </w:rPr>
        <w:t>Because Minn. Stat. § 169A.276, subd. 1(d) (2006), requires the court to provide “that after the person has been released from prison the commissioner shall place the person on conditional release for five years” and Minn. Stat. § 244.05, subd. 1b(a) (2006) requires that every inmate “</w:t>
      </w:r>
      <w:r w:rsidRPr="00F61499">
        <w:rPr>
          <w:color w:val="1C1C1C"/>
          <w:szCs w:val="26"/>
        </w:rPr>
        <w:t>shall serve a supervised release term upon completion of the</w:t>
      </w:r>
      <w:r>
        <w:rPr>
          <w:color w:val="1C1C1C"/>
          <w:szCs w:val="26"/>
        </w:rPr>
        <w:t xml:space="preserve"> inmate’s term of imprisonment,” </w:t>
      </w:r>
      <w:r>
        <w:rPr>
          <w:szCs w:val="26"/>
        </w:rPr>
        <w:t>the five-year term of conditional release is concurrent to the term of supervised release.</w:t>
      </w:r>
    </w:p>
    <w:p w:rsidR="006B4514" w:rsidRDefault="006B4514" w:rsidP="008F1B68">
      <w:pPr>
        <w:outlineLvl w:val="0"/>
        <w:rPr>
          <w:szCs w:val="26"/>
        </w:rPr>
      </w:pPr>
    </w:p>
    <w:p w:rsidR="00DC62A8" w:rsidRPr="00DC62A8" w:rsidRDefault="00DC62A8" w:rsidP="008F1B68">
      <w:pPr>
        <w:outlineLvl w:val="0"/>
        <w:rPr>
          <w:b/>
          <w:szCs w:val="26"/>
        </w:rPr>
      </w:pPr>
      <w:r>
        <w:rPr>
          <w:b/>
          <w:i/>
          <w:szCs w:val="26"/>
        </w:rPr>
        <w:t>State v. Nodes</w:t>
      </w:r>
      <w:r>
        <w:rPr>
          <w:b/>
          <w:szCs w:val="26"/>
        </w:rPr>
        <w:t>, 849 N.W.2d 85 (Minn. App. June 16, 2014)</w:t>
      </w:r>
      <w:r w:rsidR="009C14F8">
        <w:rPr>
          <w:b/>
          <w:szCs w:val="26"/>
        </w:rPr>
        <w:t xml:space="preserve">, </w:t>
      </w:r>
      <w:r w:rsidR="009C14F8">
        <w:rPr>
          <w:b/>
          <w:i/>
          <w:szCs w:val="26"/>
        </w:rPr>
        <w:t xml:space="preserve">review granted </w:t>
      </w:r>
      <w:r w:rsidR="009C14F8">
        <w:rPr>
          <w:b/>
          <w:szCs w:val="26"/>
        </w:rPr>
        <w:t>(Minn. Sept. 16, 2014)</w:t>
      </w:r>
      <w:r>
        <w:rPr>
          <w:b/>
          <w:szCs w:val="26"/>
        </w:rPr>
        <w:t xml:space="preserve"> (A13-1772).  </w:t>
      </w:r>
    </w:p>
    <w:p w:rsidR="00DC62A8" w:rsidRPr="00DC62A8" w:rsidRDefault="00E816C2" w:rsidP="008F1B68">
      <w:pPr>
        <w:suppressAutoHyphens w:val="0"/>
        <w:autoSpaceDE w:val="0"/>
        <w:autoSpaceDN w:val="0"/>
        <w:adjustRightInd w:val="0"/>
        <w:ind w:firstLine="720"/>
        <w:rPr>
          <w:color w:val="000000"/>
          <w:szCs w:val="26"/>
        </w:rPr>
      </w:pPr>
      <w:r>
        <w:rPr>
          <w:color w:val="000000"/>
          <w:szCs w:val="26"/>
        </w:rPr>
        <w:t>1.</w:t>
      </w:r>
      <w:r w:rsidR="00DC62A8">
        <w:rPr>
          <w:color w:val="000000"/>
          <w:szCs w:val="26"/>
        </w:rPr>
        <w:tab/>
      </w:r>
      <w:r w:rsidR="00DC62A8" w:rsidRPr="00DC62A8">
        <w:rPr>
          <w:color w:val="000000"/>
          <w:szCs w:val="26"/>
        </w:rPr>
        <w:t xml:space="preserve">A “prior sex offense conviction” as defined by Minn. Stat. § 609.3455, subd. 1(g), exists only after a formal judgment of conviction has been recorded. </w:t>
      </w:r>
    </w:p>
    <w:p w:rsidR="00DC62A8" w:rsidRPr="00DC62A8" w:rsidRDefault="00E816C2" w:rsidP="008F1B68">
      <w:pPr>
        <w:ind w:firstLine="720"/>
        <w:outlineLvl w:val="0"/>
        <w:rPr>
          <w:b/>
          <w:szCs w:val="26"/>
        </w:rPr>
      </w:pPr>
      <w:r>
        <w:rPr>
          <w:color w:val="000000"/>
          <w:szCs w:val="26"/>
        </w:rPr>
        <w:t>2.</w:t>
      </w:r>
      <w:r w:rsidR="00DC62A8">
        <w:rPr>
          <w:color w:val="000000"/>
          <w:szCs w:val="26"/>
        </w:rPr>
        <w:tab/>
      </w:r>
      <w:r w:rsidR="00DC62A8" w:rsidRPr="00DC62A8">
        <w:rPr>
          <w:color w:val="000000"/>
          <w:szCs w:val="26"/>
        </w:rPr>
        <w:t>No conviction presently before the sentencing court is a “previous or prior sex offense conviction” under Minn. Stat. § 609.3455, subd. 7(b).</w:t>
      </w:r>
    </w:p>
    <w:p w:rsidR="00F61499" w:rsidRDefault="00F61499" w:rsidP="008F1B68">
      <w:pPr>
        <w:outlineLvl w:val="0"/>
        <w:rPr>
          <w:b/>
          <w:snapToGrid w:val="0"/>
        </w:rPr>
      </w:pPr>
    </w:p>
    <w:p w:rsidR="00AA1609" w:rsidRPr="00F61499" w:rsidRDefault="00AA1609" w:rsidP="008F1B68">
      <w:pPr>
        <w:outlineLvl w:val="0"/>
        <w:rPr>
          <w:b/>
          <w:snapToGrid w:val="0"/>
        </w:rPr>
      </w:pPr>
    </w:p>
    <w:p w:rsidR="00C000BD" w:rsidRPr="009B6C3D" w:rsidRDefault="00C000BD" w:rsidP="008F1B68">
      <w:pPr>
        <w:outlineLvl w:val="0"/>
        <w:rPr>
          <w:b/>
          <w:snapToGrid w:val="0"/>
          <w:u w:val="single"/>
        </w:rPr>
      </w:pPr>
      <w:r w:rsidRPr="009B6C3D">
        <w:rPr>
          <w:b/>
          <w:snapToGrid w:val="0"/>
          <w:u w:val="single"/>
        </w:rPr>
        <w:t>Sex Offender Commitment</w:t>
      </w:r>
    </w:p>
    <w:p w:rsidR="00C000BD" w:rsidRDefault="00C000BD" w:rsidP="008F1B68">
      <w:pPr>
        <w:outlineLvl w:val="3"/>
        <w:rPr>
          <w:szCs w:val="26"/>
        </w:rPr>
      </w:pPr>
    </w:p>
    <w:p w:rsidR="00B13CA0" w:rsidRPr="00B13CA0" w:rsidRDefault="00B13CA0" w:rsidP="008F1B68">
      <w:pPr>
        <w:outlineLvl w:val="3"/>
        <w:rPr>
          <w:b/>
          <w:szCs w:val="26"/>
        </w:rPr>
      </w:pPr>
      <w:r>
        <w:rPr>
          <w:b/>
          <w:i/>
          <w:szCs w:val="26"/>
        </w:rPr>
        <w:t>State v. Haukos</w:t>
      </w:r>
      <w:r>
        <w:rPr>
          <w:b/>
          <w:szCs w:val="26"/>
        </w:rPr>
        <w:t xml:space="preserve">, 847 N.W.2d 270 (Minn. App. May 27, 2014) (A13-1571). </w:t>
      </w:r>
    </w:p>
    <w:p w:rsidR="00B13CA0" w:rsidRDefault="00B13CA0" w:rsidP="008F1B68">
      <w:pPr>
        <w:ind w:firstLine="720"/>
        <w:outlineLvl w:val="3"/>
        <w:rPr>
          <w:color w:val="000000"/>
          <w:szCs w:val="26"/>
        </w:rPr>
      </w:pPr>
      <w:r w:rsidRPr="00B13CA0">
        <w:rPr>
          <w:color w:val="000000"/>
          <w:szCs w:val="26"/>
        </w:rPr>
        <w:t>To trigger the sex-offender-registration requirement under Minn. Stat. § 243.166, a criminal sexual conduct charge must be supported by probable cause.</w:t>
      </w:r>
    </w:p>
    <w:p w:rsidR="00DF2E3D" w:rsidRPr="00DF2E3D" w:rsidRDefault="00DF2E3D" w:rsidP="008F1B68">
      <w:pPr>
        <w:outlineLvl w:val="3"/>
        <w:rPr>
          <w:b/>
          <w:i/>
          <w:color w:val="000000"/>
          <w:szCs w:val="26"/>
        </w:rPr>
      </w:pPr>
    </w:p>
    <w:p w:rsidR="00DF2E3D" w:rsidRPr="00DF2E3D" w:rsidRDefault="00DF2E3D" w:rsidP="008F1B68">
      <w:pPr>
        <w:outlineLvl w:val="3"/>
        <w:rPr>
          <w:b/>
          <w:color w:val="000000"/>
          <w:szCs w:val="26"/>
        </w:rPr>
      </w:pPr>
      <w:r w:rsidRPr="00DF2E3D">
        <w:rPr>
          <w:b/>
          <w:i/>
          <w:color w:val="000000"/>
          <w:szCs w:val="26"/>
        </w:rPr>
        <w:t>In re Civil Commitment of Spicer</w:t>
      </w:r>
      <w:r>
        <w:rPr>
          <w:b/>
          <w:color w:val="000000"/>
          <w:szCs w:val="26"/>
        </w:rPr>
        <w:t xml:space="preserve">, </w:t>
      </w:r>
      <w:r w:rsidR="00E816C2">
        <w:rPr>
          <w:b/>
          <w:color w:val="000000"/>
          <w:szCs w:val="26"/>
        </w:rPr>
        <w:t>853 N.W.2d 803</w:t>
      </w:r>
      <w:r>
        <w:rPr>
          <w:b/>
          <w:color w:val="000000"/>
          <w:szCs w:val="26"/>
        </w:rPr>
        <w:t xml:space="preserve"> (Minn. App. Aug. 18, 2014) (A13-2120).  </w:t>
      </w:r>
    </w:p>
    <w:p w:rsidR="00DF2E3D" w:rsidRPr="00DF2E3D" w:rsidRDefault="00DF2E3D" w:rsidP="008F1B68">
      <w:pPr>
        <w:ind w:firstLine="720"/>
        <w:outlineLvl w:val="3"/>
        <w:rPr>
          <w:b/>
          <w:szCs w:val="26"/>
        </w:rPr>
      </w:pPr>
      <w:r w:rsidRPr="00DF2E3D">
        <w:rPr>
          <w:color w:val="000000"/>
          <w:szCs w:val="26"/>
        </w:rPr>
        <w:t>The district court’s findings of fact lack particularity and do not adequately demonstrate the district court’s consideration of the factors relevant to determining whether appellant satisfies the criteria for commitment as an SDP or an SPP.</w:t>
      </w:r>
    </w:p>
    <w:p w:rsidR="00C000BD" w:rsidRDefault="00C000BD" w:rsidP="008F1B68">
      <w:pPr>
        <w:outlineLvl w:val="3"/>
        <w:rPr>
          <w:szCs w:val="26"/>
        </w:rPr>
      </w:pPr>
    </w:p>
    <w:p w:rsidR="004230D2" w:rsidRDefault="004230D2" w:rsidP="008F1B68">
      <w:pPr>
        <w:outlineLvl w:val="3"/>
        <w:rPr>
          <w:szCs w:val="26"/>
        </w:rPr>
      </w:pPr>
    </w:p>
    <w:p w:rsidR="004230D2" w:rsidRDefault="004230D2" w:rsidP="008F1B68">
      <w:pPr>
        <w:outlineLvl w:val="3"/>
        <w:rPr>
          <w:szCs w:val="26"/>
        </w:rPr>
      </w:pPr>
    </w:p>
    <w:p w:rsidR="004230D2" w:rsidRDefault="004230D2" w:rsidP="008F1B68">
      <w:pPr>
        <w:outlineLvl w:val="3"/>
        <w:rPr>
          <w:szCs w:val="26"/>
        </w:rPr>
      </w:pPr>
    </w:p>
    <w:p w:rsidR="004230D2" w:rsidRDefault="004230D2" w:rsidP="008F1B68">
      <w:pPr>
        <w:outlineLvl w:val="3"/>
        <w:rPr>
          <w:szCs w:val="26"/>
        </w:rPr>
      </w:pPr>
    </w:p>
    <w:p w:rsidR="004230D2" w:rsidRDefault="004230D2" w:rsidP="008F1B68">
      <w:pPr>
        <w:outlineLvl w:val="3"/>
        <w:rPr>
          <w:szCs w:val="26"/>
        </w:rPr>
      </w:pPr>
    </w:p>
    <w:p w:rsidR="004230D2" w:rsidRDefault="004230D2" w:rsidP="008F1B68">
      <w:pPr>
        <w:outlineLvl w:val="3"/>
        <w:rPr>
          <w:szCs w:val="26"/>
        </w:rPr>
      </w:pPr>
    </w:p>
    <w:p w:rsidR="00C000BD" w:rsidRPr="003A0954" w:rsidRDefault="00C000BD" w:rsidP="008F1B68">
      <w:r>
        <w:rPr>
          <w:b/>
          <w:u w:val="single"/>
        </w:rPr>
        <w:lastRenderedPageBreak/>
        <w:t>Substantive Criminal Law</w:t>
      </w:r>
    </w:p>
    <w:p w:rsidR="00C000BD" w:rsidRDefault="00C000BD" w:rsidP="008F1B68"/>
    <w:p w:rsidR="00981FF3" w:rsidRDefault="00981FF3" w:rsidP="008F1B68">
      <w:pPr>
        <w:outlineLvl w:val="3"/>
        <w:rPr>
          <w:b/>
          <w:bCs/>
          <w:szCs w:val="26"/>
        </w:rPr>
      </w:pPr>
      <w:r>
        <w:rPr>
          <w:b/>
          <w:bCs/>
          <w:i/>
          <w:szCs w:val="26"/>
        </w:rPr>
        <w:t>State v. Broten</w:t>
      </w:r>
      <w:r>
        <w:rPr>
          <w:b/>
          <w:bCs/>
          <w:szCs w:val="26"/>
        </w:rPr>
        <w:t xml:space="preserve">, 836 N.W.2d 573 (Minn. App. Sept. 3, 2013), </w:t>
      </w:r>
      <w:r>
        <w:rPr>
          <w:b/>
          <w:bCs/>
          <w:i/>
          <w:szCs w:val="26"/>
        </w:rPr>
        <w:t>review denied</w:t>
      </w:r>
      <w:r>
        <w:rPr>
          <w:b/>
          <w:bCs/>
          <w:szCs w:val="26"/>
        </w:rPr>
        <w:t xml:space="preserve"> (Minn. Nov. 12, 2013) (A13-0192).</w:t>
      </w:r>
    </w:p>
    <w:p w:rsidR="00981FF3" w:rsidRDefault="00981FF3" w:rsidP="008F1B68">
      <w:pPr>
        <w:pStyle w:val="Heading1"/>
        <w:keepNext w:val="0"/>
        <w:ind w:firstLine="720"/>
        <w:rPr>
          <w:b w:val="0"/>
          <w:szCs w:val="26"/>
        </w:rPr>
      </w:pPr>
      <w:r>
        <w:rPr>
          <w:b w:val="0"/>
          <w:szCs w:val="26"/>
        </w:rPr>
        <w:t>Proof of bodily harm is not required for a conviction of malicious punishment of a child under Minn. Stat. § 609.377, subd. 1 (2010).  Minn. Stat. § 609.377 (2010) is not unconstitutionally vague.</w:t>
      </w:r>
    </w:p>
    <w:p w:rsidR="00E76B0B" w:rsidRDefault="00E76B0B" w:rsidP="008F1B68">
      <w:pPr>
        <w:rPr>
          <w:szCs w:val="26"/>
        </w:rPr>
      </w:pPr>
    </w:p>
    <w:p w:rsidR="00E76B0B" w:rsidRDefault="00E76B0B" w:rsidP="008F1B68">
      <w:pPr>
        <w:tabs>
          <w:tab w:val="left" w:pos="720"/>
          <w:tab w:val="left" w:pos="1440"/>
          <w:tab w:val="left" w:pos="2160"/>
        </w:tabs>
      </w:pPr>
      <w:r>
        <w:rPr>
          <w:b/>
          <w:i/>
        </w:rPr>
        <w:t>State v. Weyaus</w:t>
      </w:r>
      <w:r>
        <w:rPr>
          <w:b/>
        </w:rPr>
        <w:t xml:space="preserve">, 836 N.W.2d 579 (Minn. App. Sept. 3, 2013), </w:t>
      </w:r>
      <w:r>
        <w:rPr>
          <w:b/>
          <w:i/>
        </w:rPr>
        <w:t>review denied</w:t>
      </w:r>
      <w:r>
        <w:rPr>
          <w:b/>
        </w:rPr>
        <w:t xml:space="preserve"> (Minn. Nov. 12, 2013) (A12-1723).</w:t>
      </w:r>
    </w:p>
    <w:p w:rsidR="00E76B0B" w:rsidRPr="003955A2" w:rsidRDefault="00E76B0B" w:rsidP="008F1B68">
      <w:pPr>
        <w:pStyle w:val="Heading1"/>
        <w:keepNext w:val="0"/>
        <w:ind w:firstLine="720"/>
        <w:rPr>
          <w:b w:val="0"/>
          <w:szCs w:val="26"/>
        </w:rPr>
      </w:pPr>
      <w:r>
        <w:rPr>
          <w:b w:val="0"/>
        </w:rPr>
        <w:t xml:space="preserve">The definition of dangerous weapon found in </w:t>
      </w:r>
      <w:r w:rsidRPr="00E903FC">
        <w:rPr>
          <w:b w:val="0"/>
        </w:rPr>
        <w:t>CRIMJIG 13.10 (</w:t>
      </w:r>
      <w:r>
        <w:rPr>
          <w:b w:val="0"/>
        </w:rPr>
        <w:t>2006</w:t>
      </w:r>
      <w:r w:rsidRPr="00E903FC">
        <w:rPr>
          <w:b w:val="0"/>
        </w:rPr>
        <w:t xml:space="preserve">) </w:t>
      </w:r>
      <w:r>
        <w:rPr>
          <w:b w:val="0"/>
        </w:rPr>
        <w:t>accurately conveys the substance of the definition of dangerous weapon fo</w:t>
      </w:r>
      <w:r w:rsidRPr="00E903FC">
        <w:rPr>
          <w:b w:val="0"/>
        </w:rPr>
        <w:t>und in Minn</w:t>
      </w:r>
      <w:r>
        <w:rPr>
          <w:b w:val="0"/>
        </w:rPr>
        <w:t>.</w:t>
      </w:r>
      <w:r w:rsidRPr="00E903FC">
        <w:rPr>
          <w:b w:val="0"/>
        </w:rPr>
        <w:t xml:space="preserve"> Stat</w:t>
      </w:r>
      <w:r>
        <w:rPr>
          <w:b w:val="0"/>
        </w:rPr>
        <w:t>.</w:t>
      </w:r>
      <w:r w:rsidRPr="00E903FC">
        <w:rPr>
          <w:b w:val="0"/>
        </w:rPr>
        <w:t xml:space="preserve"> </w:t>
      </w:r>
      <w:r>
        <w:rPr>
          <w:b w:val="0"/>
        </w:rPr>
        <w:t>§ </w:t>
      </w:r>
      <w:r w:rsidRPr="00E903FC">
        <w:rPr>
          <w:b w:val="0"/>
        </w:rPr>
        <w:t>609.02, subd</w:t>
      </w:r>
      <w:r>
        <w:rPr>
          <w:b w:val="0"/>
        </w:rPr>
        <w:t>.</w:t>
      </w:r>
      <w:r w:rsidRPr="00E903FC">
        <w:rPr>
          <w:b w:val="0"/>
        </w:rPr>
        <w:t xml:space="preserve"> 6 (2010)</w:t>
      </w:r>
      <w:r>
        <w:rPr>
          <w:b w:val="0"/>
        </w:rPr>
        <w:t xml:space="preserve">. </w:t>
      </w:r>
    </w:p>
    <w:p w:rsidR="00E76B0B" w:rsidRPr="00E76B0B" w:rsidRDefault="00E76B0B" w:rsidP="008F1B68"/>
    <w:p w:rsidR="00E76B0B" w:rsidRDefault="00E76B0B" w:rsidP="008F1B68">
      <w:pPr>
        <w:tabs>
          <w:tab w:val="left" w:pos="720"/>
          <w:tab w:val="left" w:pos="1440"/>
          <w:tab w:val="left" w:pos="2160"/>
        </w:tabs>
        <w:rPr>
          <w:b/>
        </w:rPr>
      </w:pPr>
      <w:r>
        <w:rPr>
          <w:b/>
          <w:i/>
        </w:rPr>
        <w:t>State v. Stahosky</w:t>
      </w:r>
      <w:r>
        <w:rPr>
          <w:b/>
        </w:rPr>
        <w:t>, 836 N.W.2d 769 (Minn. App. Sept. 16, 2013) (A12-1875).</w:t>
      </w:r>
    </w:p>
    <w:p w:rsidR="00E76B0B" w:rsidRDefault="00E76B0B" w:rsidP="008F1B68">
      <w:pPr>
        <w:tabs>
          <w:tab w:val="left" w:pos="720"/>
          <w:tab w:val="left" w:pos="1440"/>
          <w:tab w:val="left" w:pos="2160"/>
        </w:tabs>
      </w:pPr>
      <w:r>
        <w:rPr>
          <w:szCs w:val="26"/>
        </w:rPr>
        <w:tab/>
        <w:t xml:space="preserve">A person may be found to have committed aggravated forgery and satisfy the “intent to defraud” requirement of Minn. Stat. § 609.625, subd. 1 (2010), when the person signs a document under an assumed name or the name of another and the document </w:t>
      </w:r>
      <w:r w:rsidRPr="00CD5302">
        <w:t>creates, terminates, transfers, or evidences genuine</w:t>
      </w:r>
      <w:r>
        <w:t>,</w:t>
      </w:r>
      <w:r w:rsidRPr="00CD5302">
        <w:t xml:space="preserve"> legal rights</w:t>
      </w:r>
      <w:r>
        <w:t>, privileges, or obligations.</w:t>
      </w:r>
      <w:r>
        <w:rPr>
          <w:szCs w:val="26"/>
        </w:rPr>
        <w:t xml:space="preserve">  </w:t>
      </w:r>
    </w:p>
    <w:p w:rsidR="00981FF3" w:rsidRPr="00981FF3" w:rsidRDefault="00981FF3" w:rsidP="008F1B68"/>
    <w:p w:rsidR="00981FF3" w:rsidRDefault="00981FF3" w:rsidP="008F1B68">
      <w:pPr>
        <w:tabs>
          <w:tab w:val="left" w:pos="720"/>
          <w:tab w:val="left" w:pos="1440"/>
          <w:tab w:val="left" w:pos="2160"/>
        </w:tabs>
      </w:pPr>
      <w:r>
        <w:rPr>
          <w:b/>
          <w:i/>
        </w:rPr>
        <w:t>State v. Essex</w:t>
      </w:r>
      <w:r>
        <w:rPr>
          <w:b/>
        </w:rPr>
        <w:t xml:space="preserve">, 838 N.W.2d 805 (Minn. App. Nov. 4, 2013), </w:t>
      </w:r>
      <w:r>
        <w:rPr>
          <w:b/>
          <w:i/>
        </w:rPr>
        <w:t xml:space="preserve">review denied </w:t>
      </w:r>
      <w:r>
        <w:rPr>
          <w:b/>
        </w:rPr>
        <w:t>(</w:t>
      </w:r>
      <w:r w:rsidR="00EF449C">
        <w:rPr>
          <w:b/>
        </w:rPr>
        <w:t xml:space="preserve">Minn. </w:t>
      </w:r>
      <w:r>
        <w:rPr>
          <w:b/>
        </w:rPr>
        <w:t>Jan. 21, 2014) (A12-2268).</w:t>
      </w:r>
    </w:p>
    <w:p w:rsidR="00981FF3" w:rsidRDefault="00981FF3" w:rsidP="008F1B68">
      <w:pPr>
        <w:tabs>
          <w:tab w:val="left" w:pos="720"/>
          <w:tab w:val="left" w:pos="1440"/>
          <w:tab w:val="left" w:pos="2160"/>
        </w:tabs>
        <w:rPr>
          <w:szCs w:val="26"/>
        </w:rPr>
      </w:pPr>
      <w:r>
        <w:rPr>
          <w:szCs w:val="26"/>
        </w:rPr>
        <w:tab/>
        <w:t>When there is evidence that the defendant had intent to commit second-degree assault and took action that was a substantial step toward the commission of second-degree assault, evidence that the defendant actually brandished a dangerous weapon is not necessary to support a conviction of attempted second-degree assault.</w:t>
      </w:r>
    </w:p>
    <w:p w:rsidR="00981FF3" w:rsidRPr="0012794A" w:rsidRDefault="00981FF3" w:rsidP="008F1B68">
      <w:pPr>
        <w:tabs>
          <w:tab w:val="left" w:pos="720"/>
          <w:tab w:val="left" w:pos="1440"/>
          <w:tab w:val="left" w:pos="2160"/>
        </w:tabs>
      </w:pPr>
    </w:p>
    <w:p w:rsidR="004E222E" w:rsidRDefault="004E222E" w:rsidP="008F1B68">
      <w:pPr>
        <w:tabs>
          <w:tab w:val="left" w:pos="720"/>
          <w:tab w:val="left" w:pos="1440"/>
          <w:tab w:val="left" w:pos="2160"/>
        </w:tabs>
      </w:pPr>
      <w:r>
        <w:rPr>
          <w:b/>
          <w:i/>
        </w:rPr>
        <w:t>State v. Pederson</w:t>
      </w:r>
      <w:r>
        <w:rPr>
          <w:b/>
        </w:rPr>
        <w:t>, 840 N.W.2d 433 (Minn. App. Dec. 9, 2013) (A12-2221).</w:t>
      </w:r>
    </w:p>
    <w:p w:rsidR="004E222E" w:rsidRDefault="004E222E" w:rsidP="008F1B68">
      <w:pPr>
        <w:pStyle w:val="Heading1"/>
        <w:keepNext w:val="0"/>
        <w:ind w:firstLine="720"/>
        <w:rPr>
          <w:b w:val="0"/>
          <w:szCs w:val="26"/>
        </w:rPr>
      </w:pPr>
      <w:r>
        <w:rPr>
          <w:b w:val="0"/>
          <w:szCs w:val="26"/>
        </w:rPr>
        <w:t xml:space="preserve">A conviction of obstructing legal process under </w:t>
      </w:r>
      <w:r w:rsidRPr="00944F68">
        <w:rPr>
          <w:b w:val="0"/>
        </w:rPr>
        <w:t>Minn. Stat</w:t>
      </w:r>
      <w:r>
        <w:rPr>
          <w:b w:val="0"/>
        </w:rPr>
        <w:t xml:space="preserve">. § 609.50, subd. 1(1) (2010) requires that a person’s </w:t>
      </w:r>
      <w:r w:rsidRPr="009009D3">
        <w:rPr>
          <w:b w:val="0"/>
          <w:szCs w:val="26"/>
        </w:rPr>
        <w:t xml:space="preserve">conduct obstructs or hinders the lawful execution of legal process or </w:t>
      </w:r>
      <w:r>
        <w:rPr>
          <w:b w:val="0"/>
          <w:szCs w:val="26"/>
        </w:rPr>
        <w:t xml:space="preserve">the </w:t>
      </w:r>
      <w:r w:rsidRPr="009009D3">
        <w:rPr>
          <w:b w:val="0"/>
          <w:szCs w:val="26"/>
        </w:rPr>
        <w:t>apprehen</w:t>
      </w:r>
      <w:r>
        <w:rPr>
          <w:b w:val="0"/>
          <w:szCs w:val="26"/>
        </w:rPr>
        <w:t>s</w:t>
      </w:r>
      <w:r w:rsidRPr="009009D3">
        <w:rPr>
          <w:b w:val="0"/>
          <w:szCs w:val="26"/>
        </w:rPr>
        <w:t>i</w:t>
      </w:r>
      <w:r>
        <w:rPr>
          <w:b w:val="0"/>
          <w:szCs w:val="26"/>
        </w:rPr>
        <w:t>o</w:t>
      </w:r>
      <w:r w:rsidRPr="009009D3">
        <w:rPr>
          <w:b w:val="0"/>
          <w:szCs w:val="26"/>
        </w:rPr>
        <w:t>n</w:t>
      </w:r>
      <w:r>
        <w:rPr>
          <w:b w:val="0"/>
          <w:szCs w:val="26"/>
        </w:rPr>
        <w:t xml:space="preserve"> of</w:t>
      </w:r>
      <w:r w:rsidRPr="009009D3">
        <w:rPr>
          <w:b w:val="0"/>
          <w:szCs w:val="26"/>
        </w:rPr>
        <w:t xml:space="preserve"> a</w:t>
      </w:r>
      <w:r>
        <w:rPr>
          <w:b w:val="0"/>
          <w:szCs w:val="26"/>
        </w:rPr>
        <w:t>nother</w:t>
      </w:r>
      <w:r w:rsidRPr="009009D3">
        <w:rPr>
          <w:b w:val="0"/>
          <w:szCs w:val="26"/>
        </w:rPr>
        <w:t xml:space="preserve"> person in connection with that process</w:t>
      </w:r>
      <w:r>
        <w:rPr>
          <w:b w:val="0"/>
          <w:szCs w:val="26"/>
        </w:rPr>
        <w:t xml:space="preserve">. </w:t>
      </w:r>
    </w:p>
    <w:p w:rsidR="004E222E" w:rsidRPr="000A20AA" w:rsidRDefault="004E222E" w:rsidP="004230D2">
      <w:pPr>
        <w:pStyle w:val="Heading1"/>
        <w:keepNext w:val="0"/>
        <w:rPr>
          <w:szCs w:val="26"/>
        </w:rPr>
      </w:pPr>
    </w:p>
    <w:p w:rsidR="00E76B0B" w:rsidRDefault="00E76B0B" w:rsidP="008F1B68">
      <w:pPr>
        <w:tabs>
          <w:tab w:val="left" w:pos="720"/>
          <w:tab w:val="left" w:pos="1440"/>
          <w:tab w:val="left" w:pos="2160"/>
        </w:tabs>
      </w:pPr>
      <w:r>
        <w:rPr>
          <w:b/>
          <w:i/>
        </w:rPr>
        <w:t>State v. Schmid</w:t>
      </w:r>
      <w:r>
        <w:rPr>
          <w:b/>
        </w:rPr>
        <w:t xml:space="preserve">, 840 N.W.2d 843 (Minn. App. Dec. 23, 2013), </w:t>
      </w:r>
      <w:r w:rsidRPr="00FF2EB2">
        <w:rPr>
          <w:b/>
          <w:i/>
        </w:rPr>
        <w:t>review granted</w:t>
      </w:r>
      <w:r w:rsidRPr="00FF2EB2">
        <w:rPr>
          <w:b/>
        </w:rPr>
        <w:t xml:space="preserve"> (Minn. Apr. 15, 2014)</w:t>
      </w:r>
      <w:r>
        <w:rPr>
          <w:b/>
        </w:rPr>
        <w:t xml:space="preserve"> (A13-0337).</w:t>
      </w:r>
    </w:p>
    <w:p w:rsidR="00E76B0B" w:rsidRDefault="00E76B0B" w:rsidP="008F1B68">
      <w:pPr>
        <w:pStyle w:val="Heading1"/>
        <w:keepNext w:val="0"/>
        <w:ind w:firstLine="720"/>
        <w:rPr>
          <w:b w:val="0"/>
          <w:szCs w:val="26"/>
        </w:rPr>
      </w:pPr>
      <w:r>
        <w:rPr>
          <w:b w:val="0"/>
          <w:szCs w:val="26"/>
        </w:rPr>
        <w:t>Entering a deer-hunting area and concealing oneself behind a hunting blind while possessing a weapon loaded with ammunition suited to hunt deer constitutes “pursuing” deer under Minnesota Statutes section 97A.015, subdivision 47 (2010), which requires a deer-hunting license under section 97B.301.</w:t>
      </w:r>
    </w:p>
    <w:p w:rsidR="00E76B0B" w:rsidRPr="00E76B0B" w:rsidRDefault="00E76B0B" w:rsidP="008F1B68"/>
    <w:p w:rsidR="00981FF3" w:rsidRDefault="00981FF3" w:rsidP="008F1B68">
      <w:pPr>
        <w:tabs>
          <w:tab w:val="left" w:pos="720"/>
          <w:tab w:val="left" w:pos="1440"/>
          <w:tab w:val="left" w:pos="2160"/>
        </w:tabs>
        <w:rPr>
          <w:b/>
        </w:rPr>
      </w:pPr>
      <w:r>
        <w:rPr>
          <w:b/>
          <w:i/>
        </w:rPr>
        <w:lastRenderedPageBreak/>
        <w:t>State v. Beane</w:t>
      </w:r>
      <w:r>
        <w:rPr>
          <w:b/>
        </w:rPr>
        <w:t>, 840 N.W.2d 848 (Minn. App. Dec. 30, 2013</w:t>
      </w:r>
      <w:r w:rsidRPr="00FF2EB2">
        <w:rPr>
          <w:b/>
        </w:rPr>
        <w:t xml:space="preserve">), </w:t>
      </w:r>
      <w:r w:rsidRPr="00FF2EB2">
        <w:rPr>
          <w:b/>
          <w:i/>
        </w:rPr>
        <w:t xml:space="preserve">review denied </w:t>
      </w:r>
      <w:r w:rsidRPr="00FF2EB2">
        <w:rPr>
          <w:b/>
        </w:rPr>
        <w:t>(Minn. Mar. 18, 2014) (A12</w:t>
      </w:r>
      <w:r>
        <w:rPr>
          <w:b/>
        </w:rPr>
        <w:t xml:space="preserve">-2222).  </w:t>
      </w:r>
    </w:p>
    <w:p w:rsidR="00981FF3" w:rsidRPr="00F87C42" w:rsidRDefault="00981FF3" w:rsidP="008F1B68">
      <w:pPr>
        <w:tabs>
          <w:tab w:val="left" w:pos="720"/>
          <w:tab w:val="left" w:pos="1440"/>
          <w:tab w:val="left" w:pos="2160"/>
        </w:tabs>
        <w:rPr>
          <w:b/>
        </w:rPr>
      </w:pPr>
      <w:r>
        <w:rPr>
          <w:szCs w:val="26"/>
        </w:rPr>
        <w:t xml:space="preserve">(See </w:t>
      </w:r>
      <w:r w:rsidRPr="006B64EC">
        <w:rPr>
          <w:szCs w:val="26"/>
        </w:rPr>
        <w:t xml:space="preserve">pages </w:t>
      </w:r>
      <w:r w:rsidR="000E001E">
        <w:rPr>
          <w:szCs w:val="26"/>
        </w:rPr>
        <w:t>16</w:t>
      </w:r>
      <w:r w:rsidRPr="006B64EC">
        <w:rPr>
          <w:szCs w:val="26"/>
        </w:rPr>
        <w:t xml:space="preserve"> and </w:t>
      </w:r>
      <w:r w:rsidR="000E001E">
        <w:rPr>
          <w:szCs w:val="26"/>
        </w:rPr>
        <w:t>20</w:t>
      </w:r>
      <w:r>
        <w:rPr>
          <w:szCs w:val="26"/>
        </w:rPr>
        <w:t xml:space="preserve"> for additional syllabus points for this case)</w:t>
      </w:r>
    </w:p>
    <w:p w:rsidR="00981FF3" w:rsidRDefault="00981FF3" w:rsidP="008F1B68">
      <w:pPr>
        <w:pStyle w:val="Heading1"/>
        <w:keepNext w:val="0"/>
        <w:rPr>
          <w:b w:val="0"/>
          <w:szCs w:val="26"/>
        </w:rPr>
      </w:pPr>
      <w:r>
        <w:rPr>
          <w:b w:val="0"/>
          <w:szCs w:val="26"/>
        </w:rPr>
        <w:tab/>
        <w:t>1.</w:t>
      </w:r>
      <w:r>
        <w:rPr>
          <w:b w:val="0"/>
          <w:szCs w:val="26"/>
        </w:rPr>
        <w:tab/>
        <w:t>One entry of an apartment without consent, followed by assaults against multiple victims while in the apartment, supports only one first-degree burglary conviction.</w:t>
      </w:r>
    </w:p>
    <w:p w:rsidR="00E76B0B" w:rsidRPr="00E76B0B" w:rsidRDefault="00E76B0B" w:rsidP="008F1B68"/>
    <w:p w:rsidR="00E76B0B" w:rsidRDefault="00E76B0B" w:rsidP="008F1B68">
      <w:pPr>
        <w:tabs>
          <w:tab w:val="left" w:pos="720"/>
          <w:tab w:val="left" w:pos="1440"/>
          <w:tab w:val="left" w:pos="2160"/>
        </w:tabs>
      </w:pPr>
      <w:r>
        <w:rPr>
          <w:b/>
          <w:i/>
        </w:rPr>
        <w:t>State v. Salyers</w:t>
      </w:r>
      <w:r>
        <w:rPr>
          <w:b/>
        </w:rPr>
        <w:t xml:space="preserve">, 842 N.W.2d 28 (Minn. App. Jan. 21, 2014), </w:t>
      </w:r>
      <w:r>
        <w:rPr>
          <w:b/>
          <w:i/>
          <w:szCs w:val="26"/>
        </w:rPr>
        <w:t>review granted</w:t>
      </w:r>
      <w:r w:rsidRPr="00FF2EB2">
        <w:rPr>
          <w:b/>
          <w:i/>
        </w:rPr>
        <w:t xml:space="preserve"> </w:t>
      </w:r>
      <w:r w:rsidRPr="00FF2EB2">
        <w:rPr>
          <w:b/>
        </w:rPr>
        <w:t>(Minn. Mar. 26, 2014) (</w:t>
      </w:r>
      <w:r>
        <w:rPr>
          <w:b/>
        </w:rPr>
        <w:t>A13-0597).</w:t>
      </w:r>
    </w:p>
    <w:p w:rsidR="00E76B0B" w:rsidRPr="00AB50B9" w:rsidRDefault="00E76B0B" w:rsidP="008F1B68">
      <w:pPr>
        <w:pStyle w:val="Heading1"/>
        <w:keepNext w:val="0"/>
        <w:ind w:firstLine="720"/>
        <w:rPr>
          <w:b w:val="0"/>
          <w:szCs w:val="26"/>
        </w:rPr>
      </w:pPr>
      <w:r>
        <w:rPr>
          <w:b w:val="0"/>
          <w:szCs w:val="26"/>
        </w:rPr>
        <w:t xml:space="preserve">A person who possesses a gun cabinet also possesses the guns inside for the purpose of applying the statutes that criminalize being a </w:t>
      </w:r>
      <w:r w:rsidRPr="007D383F">
        <w:rPr>
          <w:b w:val="0"/>
          <w:szCs w:val="26"/>
        </w:rPr>
        <w:t>felon in possession of a firearm, possess</w:t>
      </w:r>
      <w:r>
        <w:rPr>
          <w:b w:val="0"/>
          <w:szCs w:val="26"/>
        </w:rPr>
        <w:t>ing</w:t>
      </w:r>
      <w:r w:rsidRPr="007D383F">
        <w:rPr>
          <w:b w:val="0"/>
          <w:szCs w:val="26"/>
        </w:rPr>
        <w:t xml:space="preserve"> a sawed-off shotgun, and possess</w:t>
      </w:r>
      <w:r>
        <w:rPr>
          <w:b w:val="0"/>
          <w:szCs w:val="26"/>
        </w:rPr>
        <w:t>ing</w:t>
      </w:r>
      <w:r w:rsidRPr="007D383F">
        <w:rPr>
          <w:b w:val="0"/>
          <w:szCs w:val="26"/>
        </w:rPr>
        <w:t xml:space="preserve"> a </w:t>
      </w:r>
      <w:r>
        <w:rPr>
          <w:b w:val="0"/>
          <w:szCs w:val="26"/>
        </w:rPr>
        <w:t xml:space="preserve">firearm having </w:t>
      </w:r>
      <w:r w:rsidRPr="007D383F">
        <w:rPr>
          <w:b w:val="0"/>
          <w:szCs w:val="26"/>
        </w:rPr>
        <w:t>an obliterated serial number</w:t>
      </w:r>
      <w:r>
        <w:rPr>
          <w:b w:val="0"/>
          <w:szCs w:val="26"/>
        </w:rPr>
        <w:t>, Minnesota S</w:t>
      </w:r>
      <w:r w:rsidRPr="00C7133D">
        <w:rPr>
          <w:b w:val="0"/>
          <w:szCs w:val="26"/>
        </w:rPr>
        <w:t>tatutes sections 609.165, subd</w:t>
      </w:r>
      <w:r>
        <w:rPr>
          <w:b w:val="0"/>
          <w:szCs w:val="26"/>
        </w:rPr>
        <w:t>ivision</w:t>
      </w:r>
      <w:r w:rsidRPr="00C7133D">
        <w:rPr>
          <w:b w:val="0"/>
          <w:szCs w:val="26"/>
        </w:rPr>
        <w:t xml:space="preserve"> 1b(a), 609.67, subd</w:t>
      </w:r>
      <w:r>
        <w:rPr>
          <w:b w:val="0"/>
          <w:szCs w:val="26"/>
        </w:rPr>
        <w:t>ivision</w:t>
      </w:r>
      <w:r w:rsidRPr="00C7133D">
        <w:rPr>
          <w:b w:val="0"/>
          <w:szCs w:val="26"/>
        </w:rPr>
        <w:t xml:space="preserve"> 2, and 609.667(2) (2012).</w:t>
      </w:r>
    </w:p>
    <w:p w:rsidR="00981FF3" w:rsidRPr="00981FF3" w:rsidRDefault="00981FF3" w:rsidP="008F1B68"/>
    <w:p w:rsidR="00E76B0B" w:rsidRDefault="00E76B0B" w:rsidP="008F1B68">
      <w:pPr>
        <w:rPr>
          <w:rFonts w:hAnsi="Symbol"/>
          <w:b/>
        </w:rPr>
      </w:pPr>
      <w:r>
        <w:rPr>
          <w:rFonts w:hAnsi="Symbol"/>
          <w:b/>
          <w:i/>
        </w:rPr>
        <w:t>State v. Wenthe</w:t>
      </w:r>
      <w:r>
        <w:rPr>
          <w:rFonts w:hAnsi="Symbol"/>
          <w:b/>
        </w:rPr>
        <w:t xml:space="preserve">, 845 </w:t>
      </w:r>
      <w:r w:rsidRPr="003670DF">
        <w:rPr>
          <w:rFonts w:hAnsi="Symbol"/>
          <w:b/>
        </w:rPr>
        <w:t>N.W.2d</w:t>
      </w:r>
      <w:r>
        <w:rPr>
          <w:rFonts w:hAnsi="Symbol"/>
          <w:b/>
        </w:rPr>
        <w:t xml:space="preserve"> 222 (Minn. App. Apr. 7, 2014), </w:t>
      </w:r>
      <w:r w:rsidR="00563C77">
        <w:rPr>
          <w:rFonts w:hAnsi="Symbol"/>
          <w:b/>
          <w:i/>
        </w:rPr>
        <w:t>review granted</w:t>
      </w:r>
      <w:r>
        <w:rPr>
          <w:rFonts w:hAnsi="Symbol"/>
          <w:b/>
          <w:i/>
        </w:rPr>
        <w:t xml:space="preserve"> </w:t>
      </w:r>
      <w:r>
        <w:rPr>
          <w:rFonts w:hAnsi="Symbol"/>
          <w:b/>
        </w:rPr>
        <w:t xml:space="preserve">(Minn. </w:t>
      </w:r>
      <w:r w:rsidR="00563C77">
        <w:rPr>
          <w:rFonts w:hAnsi="Symbol"/>
          <w:b/>
        </w:rPr>
        <w:t>June 25</w:t>
      </w:r>
      <w:r>
        <w:rPr>
          <w:rFonts w:hAnsi="Symbol"/>
          <w:b/>
        </w:rPr>
        <w:t>, 2014) (A12-0263).</w:t>
      </w:r>
    </w:p>
    <w:p w:rsidR="00E76B0B" w:rsidRDefault="00E76B0B" w:rsidP="008F1B68">
      <w:pPr>
        <w:rPr>
          <w:rFonts w:hAnsi="Symbol"/>
          <w:b/>
        </w:rPr>
      </w:pPr>
      <w:r>
        <w:rPr>
          <w:szCs w:val="26"/>
        </w:rPr>
        <w:t xml:space="preserve">(See </w:t>
      </w:r>
      <w:r w:rsidRPr="006B64EC">
        <w:rPr>
          <w:szCs w:val="26"/>
        </w:rPr>
        <w:t xml:space="preserve">pages </w:t>
      </w:r>
      <w:r w:rsidR="000526C6">
        <w:rPr>
          <w:szCs w:val="26"/>
        </w:rPr>
        <w:t>16</w:t>
      </w:r>
      <w:r w:rsidRPr="006B64EC">
        <w:rPr>
          <w:szCs w:val="26"/>
        </w:rPr>
        <w:t xml:space="preserve"> and </w:t>
      </w:r>
      <w:r w:rsidR="000526C6">
        <w:rPr>
          <w:szCs w:val="26"/>
        </w:rPr>
        <w:t>24</w:t>
      </w:r>
      <w:r>
        <w:rPr>
          <w:szCs w:val="26"/>
        </w:rPr>
        <w:t xml:space="preserve"> for additional syllabus points for this case)</w:t>
      </w:r>
    </w:p>
    <w:p w:rsidR="00E76B0B" w:rsidRDefault="00E76B0B" w:rsidP="008F1B68">
      <w:r>
        <w:tab/>
        <w:t>2.</w:t>
      </w:r>
      <w:r>
        <w:tab/>
        <w:t>The crime of clergy sexual conduct during the course of a single meeting requires proof that the defendant has knowledge of the religious or spiritual purpose of the meeting.</w:t>
      </w:r>
    </w:p>
    <w:p w:rsidR="00E76B0B" w:rsidRPr="00BF05B4" w:rsidRDefault="00E76B0B" w:rsidP="008F1B68"/>
    <w:p w:rsidR="00C000BD" w:rsidRDefault="00C000BD" w:rsidP="008F1B68">
      <w:pPr>
        <w:rPr>
          <w:b/>
        </w:rPr>
      </w:pPr>
      <w:r>
        <w:rPr>
          <w:b/>
          <w:i/>
        </w:rPr>
        <w:t>Barrow v. State</w:t>
      </w:r>
      <w:r>
        <w:rPr>
          <w:b/>
        </w:rPr>
        <w:t xml:space="preserve">, </w:t>
      </w:r>
      <w:r w:rsidR="00FF3C36">
        <w:rPr>
          <w:b/>
        </w:rPr>
        <w:t>845</w:t>
      </w:r>
      <w:r w:rsidRPr="000C06F3">
        <w:rPr>
          <w:b/>
        </w:rPr>
        <w:t xml:space="preserve"> N.W.2d </w:t>
      </w:r>
      <w:r w:rsidR="00FF3C36">
        <w:rPr>
          <w:b/>
        </w:rPr>
        <w:t>555</w:t>
      </w:r>
      <w:r w:rsidRPr="000C06F3">
        <w:rPr>
          <w:b/>
        </w:rPr>
        <w:t xml:space="preserve"> </w:t>
      </w:r>
      <w:r w:rsidR="00FF3C36">
        <w:rPr>
          <w:b/>
        </w:rPr>
        <w:t xml:space="preserve">(Minn. App. Apr. 21, 2014), </w:t>
      </w:r>
      <w:r w:rsidR="00FF3C36">
        <w:rPr>
          <w:b/>
          <w:i/>
        </w:rPr>
        <w:t xml:space="preserve">review granted </w:t>
      </w:r>
      <w:r w:rsidR="00FF3C36">
        <w:rPr>
          <w:b/>
        </w:rPr>
        <w:t xml:space="preserve">(Minn. July 15, 2014) </w:t>
      </w:r>
      <w:r>
        <w:rPr>
          <w:b/>
        </w:rPr>
        <w:t>(A13-1520).</w:t>
      </w:r>
    </w:p>
    <w:p w:rsidR="00C000BD" w:rsidRPr="00E76B0B" w:rsidRDefault="00C000BD" w:rsidP="008F1B68">
      <w:pPr>
        <w:pStyle w:val="Heading1"/>
        <w:keepNext w:val="0"/>
        <w:ind w:firstLine="720"/>
        <w:rPr>
          <w:b w:val="0"/>
          <w:szCs w:val="26"/>
        </w:rPr>
      </w:pPr>
      <w:r>
        <w:rPr>
          <w:b w:val="0"/>
          <w:szCs w:val="26"/>
        </w:rPr>
        <w:t xml:space="preserve">To “sell” under Minn. Stat. </w:t>
      </w:r>
      <w:r w:rsidRPr="00C74C8C">
        <w:rPr>
          <w:b w:val="0"/>
          <w:szCs w:val="26"/>
        </w:rPr>
        <w:t>§</w:t>
      </w:r>
      <w:r>
        <w:rPr>
          <w:b w:val="0"/>
          <w:szCs w:val="26"/>
        </w:rPr>
        <w:t xml:space="preserve"> 152.01, subd. 15a (2008), includes the giving of physical control of a controlled substance for the purpose of concealing the substance from law enforcement.</w:t>
      </w:r>
    </w:p>
    <w:p w:rsidR="00C000BD" w:rsidRDefault="00C000BD" w:rsidP="008F1B68">
      <w:pPr>
        <w:pStyle w:val="FootnoteText"/>
        <w:tabs>
          <w:tab w:val="left" w:pos="720"/>
          <w:tab w:val="left" w:pos="1440"/>
          <w:tab w:val="left" w:pos="2160"/>
        </w:tabs>
        <w:rPr>
          <w:b/>
          <w:szCs w:val="26"/>
          <w:u w:val="single"/>
        </w:rPr>
      </w:pPr>
    </w:p>
    <w:p w:rsidR="004230D2" w:rsidRDefault="004230D2" w:rsidP="008F1B68">
      <w:pPr>
        <w:pStyle w:val="FootnoteText"/>
        <w:tabs>
          <w:tab w:val="left" w:pos="720"/>
          <w:tab w:val="left" w:pos="1440"/>
          <w:tab w:val="left" w:pos="2160"/>
        </w:tabs>
        <w:rPr>
          <w:b/>
          <w:szCs w:val="26"/>
          <w:u w:val="single"/>
        </w:rPr>
      </w:pPr>
    </w:p>
    <w:p w:rsidR="00C000BD" w:rsidRDefault="00C000BD" w:rsidP="008F1B68">
      <w:pPr>
        <w:pStyle w:val="FootnoteText"/>
        <w:tabs>
          <w:tab w:val="left" w:pos="720"/>
          <w:tab w:val="left" w:pos="1440"/>
          <w:tab w:val="left" w:pos="2160"/>
        </w:tabs>
        <w:rPr>
          <w:szCs w:val="26"/>
        </w:rPr>
      </w:pPr>
      <w:r>
        <w:rPr>
          <w:b/>
          <w:szCs w:val="26"/>
          <w:u w:val="single"/>
        </w:rPr>
        <w:t>Trial Procedure</w:t>
      </w:r>
    </w:p>
    <w:p w:rsidR="00C000BD" w:rsidRDefault="00C000BD" w:rsidP="008F1B68">
      <w:pPr>
        <w:pStyle w:val="FootnoteText"/>
        <w:tabs>
          <w:tab w:val="left" w:pos="720"/>
          <w:tab w:val="left" w:pos="1440"/>
          <w:tab w:val="left" w:pos="2160"/>
        </w:tabs>
        <w:rPr>
          <w:szCs w:val="26"/>
        </w:rPr>
      </w:pPr>
    </w:p>
    <w:p w:rsidR="00C000BD" w:rsidRDefault="00C000BD" w:rsidP="008F1B68">
      <w:pPr>
        <w:rPr>
          <w:rFonts w:hAnsi="Symbol"/>
          <w:b/>
        </w:rPr>
      </w:pPr>
      <w:r>
        <w:rPr>
          <w:rFonts w:hAnsi="Symbol"/>
          <w:b/>
          <w:i/>
        </w:rPr>
        <w:t>State v. Wenthe</w:t>
      </w:r>
      <w:r>
        <w:rPr>
          <w:rFonts w:hAnsi="Symbol"/>
          <w:b/>
        </w:rPr>
        <w:t xml:space="preserve">, 845 </w:t>
      </w:r>
      <w:r w:rsidRPr="003670DF">
        <w:rPr>
          <w:rFonts w:hAnsi="Symbol"/>
          <w:b/>
        </w:rPr>
        <w:t>N.W.2d</w:t>
      </w:r>
      <w:r>
        <w:rPr>
          <w:rFonts w:hAnsi="Symbol"/>
          <w:b/>
        </w:rPr>
        <w:t xml:space="preserve"> 222 (Minn. App. Apr. 7, 2014), </w:t>
      </w:r>
      <w:r w:rsidR="00563C77">
        <w:rPr>
          <w:rFonts w:hAnsi="Symbol"/>
          <w:b/>
          <w:i/>
        </w:rPr>
        <w:t>review granted</w:t>
      </w:r>
      <w:r>
        <w:rPr>
          <w:rFonts w:hAnsi="Symbol"/>
          <w:b/>
          <w:i/>
        </w:rPr>
        <w:t xml:space="preserve"> </w:t>
      </w:r>
      <w:r>
        <w:rPr>
          <w:rFonts w:hAnsi="Symbol"/>
          <w:b/>
        </w:rPr>
        <w:t xml:space="preserve">(Minn. </w:t>
      </w:r>
      <w:r w:rsidR="00563C77">
        <w:rPr>
          <w:rFonts w:hAnsi="Symbol"/>
          <w:b/>
        </w:rPr>
        <w:t>June 25</w:t>
      </w:r>
      <w:r>
        <w:rPr>
          <w:rFonts w:hAnsi="Symbol"/>
          <w:b/>
        </w:rPr>
        <w:t>, 2014) (A12-0263).</w:t>
      </w:r>
    </w:p>
    <w:p w:rsidR="00C000BD" w:rsidRDefault="00C000BD" w:rsidP="008F1B68">
      <w:pPr>
        <w:rPr>
          <w:rFonts w:hAnsi="Symbol"/>
          <w:b/>
        </w:rPr>
      </w:pPr>
      <w:r>
        <w:rPr>
          <w:szCs w:val="26"/>
        </w:rPr>
        <w:t xml:space="preserve">(See </w:t>
      </w:r>
      <w:r w:rsidRPr="006B64EC">
        <w:rPr>
          <w:szCs w:val="26"/>
        </w:rPr>
        <w:t xml:space="preserve">pages </w:t>
      </w:r>
      <w:r w:rsidR="000526C6">
        <w:rPr>
          <w:szCs w:val="26"/>
        </w:rPr>
        <w:t>16 and 24</w:t>
      </w:r>
      <w:r>
        <w:rPr>
          <w:szCs w:val="26"/>
        </w:rPr>
        <w:t xml:space="preserve"> for additional syllabus points for this case)</w:t>
      </w:r>
    </w:p>
    <w:p w:rsidR="00C000BD" w:rsidRPr="00375063" w:rsidRDefault="00C000BD" w:rsidP="008F1B68">
      <w:pPr>
        <w:pStyle w:val="Heading1"/>
        <w:keepNext w:val="0"/>
        <w:ind w:firstLine="720"/>
        <w:rPr>
          <w:b w:val="0"/>
          <w:szCs w:val="26"/>
        </w:rPr>
      </w:pPr>
      <w:r>
        <w:rPr>
          <w:b w:val="0"/>
          <w:szCs w:val="26"/>
        </w:rPr>
        <w:t>1.</w:t>
      </w:r>
      <w:r>
        <w:rPr>
          <w:b w:val="0"/>
          <w:szCs w:val="26"/>
        </w:rPr>
        <w:tab/>
        <w:t>Where there is evidence of alternative acts of sexual conduct occurring on different days, and each act may support the single-meeting element of clergy sexual conduct, the jury must unanimously agree on the act that constitutes the offense.</w:t>
      </w:r>
    </w:p>
    <w:p w:rsidR="00C000BD" w:rsidRDefault="00C000BD" w:rsidP="008F1B68">
      <w:pPr>
        <w:pStyle w:val="FootnoteText"/>
        <w:tabs>
          <w:tab w:val="left" w:pos="720"/>
          <w:tab w:val="left" w:pos="1440"/>
          <w:tab w:val="left" w:pos="2160"/>
        </w:tabs>
        <w:rPr>
          <w:szCs w:val="26"/>
        </w:rPr>
      </w:pPr>
    </w:p>
    <w:p w:rsidR="004230D2" w:rsidRDefault="004230D2" w:rsidP="008F1B68">
      <w:pPr>
        <w:pStyle w:val="FootnoteText"/>
        <w:tabs>
          <w:tab w:val="left" w:pos="720"/>
          <w:tab w:val="left" w:pos="1440"/>
          <w:tab w:val="left" w:pos="2160"/>
        </w:tabs>
        <w:rPr>
          <w:szCs w:val="26"/>
        </w:rPr>
      </w:pPr>
    </w:p>
    <w:p w:rsidR="004230D2" w:rsidRDefault="004230D2" w:rsidP="008F1B68">
      <w:pPr>
        <w:pStyle w:val="FootnoteText"/>
        <w:tabs>
          <w:tab w:val="left" w:pos="720"/>
          <w:tab w:val="left" w:pos="1440"/>
          <w:tab w:val="left" w:pos="2160"/>
        </w:tabs>
        <w:rPr>
          <w:szCs w:val="26"/>
        </w:rPr>
      </w:pPr>
    </w:p>
    <w:p w:rsidR="009C7DCF" w:rsidRDefault="009C7DCF" w:rsidP="008F1B68">
      <w:pPr>
        <w:pStyle w:val="FootnoteText"/>
        <w:tabs>
          <w:tab w:val="left" w:pos="720"/>
          <w:tab w:val="left" w:pos="1440"/>
          <w:tab w:val="left" w:pos="2160"/>
        </w:tabs>
        <w:rPr>
          <w:b/>
          <w:szCs w:val="26"/>
        </w:rPr>
      </w:pPr>
      <w:r>
        <w:rPr>
          <w:b/>
          <w:i/>
          <w:szCs w:val="26"/>
        </w:rPr>
        <w:lastRenderedPageBreak/>
        <w:t>State v. Ayala-Leyva</w:t>
      </w:r>
      <w:r>
        <w:rPr>
          <w:b/>
          <w:szCs w:val="26"/>
        </w:rPr>
        <w:t>, 848 N.W.2d 546, (Minn. App. May 19</w:t>
      </w:r>
      <w:r w:rsidR="00BC2A40">
        <w:rPr>
          <w:b/>
          <w:szCs w:val="26"/>
        </w:rPr>
        <w:t>,</w:t>
      </w:r>
      <w:r>
        <w:rPr>
          <w:b/>
          <w:szCs w:val="26"/>
        </w:rPr>
        <w:t xml:space="preserve"> 2014), </w:t>
      </w:r>
      <w:r w:rsidR="00C044BA">
        <w:rPr>
          <w:b/>
          <w:i/>
          <w:szCs w:val="26"/>
        </w:rPr>
        <w:t xml:space="preserve">review granted </w:t>
      </w:r>
      <w:r>
        <w:rPr>
          <w:b/>
          <w:szCs w:val="26"/>
        </w:rPr>
        <w:t xml:space="preserve">(Aug. 5, 2014) (A13-0401).  </w:t>
      </w:r>
    </w:p>
    <w:p w:rsidR="007E633D" w:rsidRPr="00BC2A40" w:rsidRDefault="000526C6" w:rsidP="008F1B68">
      <w:pPr>
        <w:suppressAutoHyphens w:val="0"/>
        <w:autoSpaceDE w:val="0"/>
        <w:autoSpaceDN w:val="0"/>
        <w:adjustRightInd w:val="0"/>
        <w:rPr>
          <w:color w:val="000000"/>
          <w:szCs w:val="26"/>
        </w:rPr>
      </w:pPr>
      <w:r>
        <w:rPr>
          <w:color w:val="000000"/>
          <w:szCs w:val="26"/>
        </w:rPr>
        <w:t>(See page 21</w:t>
      </w:r>
      <w:r w:rsidR="007E633D" w:rsidRPr="00BC2A40">
        <w:rPr>
          <w:color w:val="000000"/>
          <w:szCs w:val="26"/>
        </w:rPr>
        <w:t xml:space="preserve"> for additional syllabus points for this case)</w:t>
      </w:r>
    </w:p>
    <w:p w:rsidR="009C7DCF" w:rsidRPr="009C7DCF" w:rsidRDefault="009C7DCF" w:rsidP="008F1B68">
      <w:pPr>
        <w:pStyle w:val="Default"/>
        <w:ind w:firstLine="720"/>
        <w:jc w:val="both"/>
        <w:rPr>
          <w:rFonts w:eastAsia="Times New Roman"/>
          <w:sz w:val="26"/>
          <w:szCs w:val="26"/>
        </w:rPr>
      </w:pPr>
      <w:r w:rsidRPr="003D15B1">
        <w:rPr>
          <w:sz w:val="26"/>
          <w:szCs w:val="26"/>
        </w:rPr>
        <w:t>1.</w:t>
      </w:r>
      <w:r w:rsidRPr="003D15B1">
        <w:rPr>
          <w:sz w:val="26"/>
          <w:szCs w:val="26"/>
        </w:rPr>
        <w:tab/>
        <w:t>When defense counsel offers no proposed jury instruction and leaves the wording of the instruction to the district court’s discretion, the court does not commit plain error when it refuses to instruct the jury that it must unanimously agree on which of</w:t>
      </w:r>
      <w:r w:rsidRPr="003D15B1">
        <w:rPr>
          <w:caps/>
          <w:sz w:val="26"/>
          <w:szCs w:val="26"/>
        </w:rPr>
        <w:t xml:space="preserve"> </w:t>
      </w:r>
      <w:r w:rsidRPr="003D15B1">
        <w:rPr>
          <w:rFonts w:eastAsia="Times New Roman"/>
          <w:sz w:val="26"/>
          <w:szCs w:val="26"/>
        </w:rPr>
        <w:t>many over</w:t>
      </w:r>
      <w:r w:rsidRPr="009C7DCF">
        <w:rPr>
          <w:rFonts w:eastAsia="Times New Roman"/>
          <w:sz w:val="26"/>
          <w:szCs w:val="26"/>
        </w:rPr>
        <w:t xml:space="preserve">t acts were committed in furtherance of a conspiracy to commit controlled substance crime. </w:t>
      </w:r>
    </w:p>
    <w:p w:rsidR="009C7DCF" w:rsidRPr="009C7DCF" w:rsidRDefault="009C7DCF" w:rsidP="008F1B68">
      <w:pPr>
        <w:suppressAutoHyphens w:val="0"/>
        <w:autoSpaceDE w:val="0"/>
        <w:autoSpaceDN w:val="0"/>
        <w:adjustRightInd w:val="0"/>
        <w:ind w:firstLine="720"/>
        <w:rPr>
          <w:color w:val="000000"/>
          <w:szCs w:val="26"/>
        </w:rPr>
      </w:pPr>
      <w:r w:rsidRPr="009C7DCF">
        <w:rPr>
          <w:color w:val="000000"/>
          <w:szCs w:val="26"/>
        </w:rPr>
        <w:t>2.</w:t>
      </w:r>
      <w:r>
        <w:rPr>
          <w:color w:val="000000"/>
          <w:szCs w:val="26"/>
        </w:rPr>
        <w:tab/>
      </w:r>
      <w:r w:rsidRPr="009C7DCF">
        <w:rPr>
          <w:color w:val="000000"/>
          <w:szCs w:val="26"/>
        </w:rPr>
        <w:t xml:space="preserve">A prosecutor commits misconduct when a subpoenaed defense witness is arrested prior to testifying at trial, in violation of Minn. Stat. § 634.08 (2012), but that misconduct is not prejudicial when the witness is immediately released, defense counsel is given an opportunity to interview the witness and decides to not call him at trial, and the witness’s testimony would not have resulted in a more favorable verdict. </w:t>
      </w:r>
    </w:p>
    <w:p w:rsidR="00C2042F" w:rsidRDefault="00C2042F" w:rsidP="008F1B68">
      <w:pPr>
        <w:pStyle w:val="FootnoteText"/>
        <w:tabs>
          <w:tab w:val="left" w:pos="720"/>
          <w:tab w:val="left" w:pos="1440"/>
          <w:tab w:val="left" w:pos="2160"/>
        </w:tabs>
        <w:rPr>
          <w:b/>
          <w:szCs w:val="26"/>
        </w:rPr>
      </w:pPr>
    </w:p>
    <w:p w:rsidR="00C2042F" w:rsidRPr="00C2042F" w:rsidRDefault="00C2042F" w:rsidP="008F1B68">
      <w:pPr>
        <w:pStyle w:val="FootnoteText"/>
        <w:tabs>
          <w:tab w:val="left" w:pos="720"/>
          <w:tab w:val="left" w:pos="1440"/>
          <w:tab w:val="left" w:pos="2160"/>
        </w:tabs>
        <w:rPr>
          <w:b/>
          <w:szCs w:val="26"/>
        </w:rPr>
      </w:pPr>
      <w:r>
        <w:rPr>
          <w:b/>
          <w:i/>
          <w:szCs w:val="26"/>
        </w:rPr>
        <w:t>State v. Martin</w:t>
      </w:r>
      <w:r>
        <w:rPr>
          <w:b/>
          <w:szCs w:val="26"/>
        </w:rPr>
        <w:t>, 849 N.W.2d 99 (Minn. App. July 7, 2014)</w:t>
      </w:r>
      <w:r w:rsidR="006F5CE7">
        <w:rPr>
          <w:b/>
          <w:szCs w:val="26"/>
        </w:rPr>
        <w:t xml:space="preserve">, </w:t>
      </w:r>
      <w:r w:rsidR="006F5CE7">
        <w:rPr>
          <w:b/>
          <w:i/>
          <w:szCs w:val="26"/>
        </w:rPr>
        <w:t>review denied</w:t>
      </w:r>
      <w:r w:rsidR="006F5CE7">
        <w:rPr>
          <w:b/>
          <w:szCs w:val="26"/>
        </w:rPr>
        <w:t xml:space="preserve"> (Minn. Sept. 24, 2014)</w:t>
      </w:r>
      <w:r>
        <w:rPr>
          <w:b/>
          <w:szCs w:val="26"/>
        </w:rPr>
        <w:t xml:space="preserve"> (A14-0044).</w:t>
      </w:r>
    </w:p>
    <w:p w:rsidR="00C2042F" w:rsidRPr="00C2042F" w:rsidRDefault="00C2042F" w:rsidP="008F1B68">
      <w:pPr>
        <w:pStyle w:val="FootnoteText"/>
        <w:tabs>
          <w:tab w:val="left" w:pos="720"/>
          <w:tab w:val="left" w:pos="1440"/>
          <w:tab w:val="left" w:pos="2160"/>
        </w:tabs>
        <w:rPr>
          <w:b/>
          <w:szCs w:val="26"/>
        </w:rPr>
      </w:pPr>
      <w:r>
        <w:rPr>
          <w:color w:val="000000"/>
          <w:sz w:val="24"/>
          <w:szCs w:val="24"/>
        </w:rPr>
        <w:tab/>
      </w:r>
      <w:r w:rsidRPr="00C2042F">
        <w:rPr>
          <w:color w:val="000000"/>
          <w:szCs w:val="26"/>
        </w:rPr>
        <w:t>A district court order that stays the imposition of a sentence and provides for the vacatur of a guilty plea and the dismissal of criminal charges at a later date is governed by the caselaw that applies to a stay of adjudication. Accordingly, if a prosecutor does not agree to such an order, a district court may issue the order only if the district court finds that the prosecutor has committed a clear abuse of discretion in the exercise of the charging function.</w:t>
      </w:r>
    </w:p>
    <w:sectPr w:rsidR="00C2042F" w:rsidRPr="00C2042F" w:rsidSect="005F446E">
      <w:footerReference w:type="default" r:id="rId16"/>
      <w:pgSz w:w="12240" w:h="15840"/>
      <w:pgMar w:top="1440" w:right="1440" w:bottom="1440" w:left="1440" w:header="72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A9" w:rsidRDefault="008C19A9">
      <w:r>
        <w:separator/>
      </w:r>
    </w:p>
  </w:endnote>
  <w:endnote w:type="continuationSeparator" w:id="0">
    <w:p w:rsidR="008C19A9" w:rsidRDefault="008C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0F" w:rsidRDefault="00A4430F" w:rsidP="0088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430F" w:rsidRDefault="00A4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0F" w:rsidRDefault="00A4430F"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w:t>
    </w:r>
    <w:r>
      <w:rPr>
        <w:rStyle w:val="PageNumber"/>
      </w:rPr>
      <w:fldChar w:fldCharType="end"/>
    </w:r>
  </w:p>
  <w:p w:rsidR="00A4430F" w:rsidRDefault="00A44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0F" w:rsidRDefault="00A4430F"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sidR="00513FCE">
      <w:rPr>
        <w:rStyle w:val="PageNumber"/>
        <w:noProof/>
      </w:rPr>
      <w:t>i</w:t>
    </w:r>
    <w:r>
      <w:rPr>
        <w:rStyle w:val="PageNumber"/>
      </w:rPr>
      <w:fldChar w:fldCharType="end"/>
    </w:r>
  </w:p>
  <w:p w:rsidR="00A4430F" w:rsidRDefault="00A443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3582"/>
      <w:docPartObj>
        <w:docPartGallery w:val="Page Numbers (Bottom of Page)"/>
        <w:docPartUnique/>
      </w:docPartObj>
    </w:sdtPr>
    <w:sdtEndPr>
      <w:rPr>
        <w:noProof/>
      </w:rPr>
    </w:sdtEndPr>
    <w:sdtContent>
      <w:p w:rsidR="00A4430F" w:rsidRDefault="00A4430F">
        <w:pPr>
          <w:pStyle w:val="Footer"/>
          <w:jc w:val="center"/>
        </w:pPr>
        <w:r>
          <w:fldChar w:fldCharType="begin"/>
        </w:r>
        <w:r>
          <w:instrText xml:space="preserve"> PAGE   \* MERGEFORMAT </w:instrText>
        </w:r>
        <w:r>
          <w:fldChar w:fldCharType="separate"/>
        </w:r>
        <w:r w:rsidR="00513FCE">
          <w:rPr>
            <w:noProof/>
          </w:rPr>
          <w:t>25</w:t>
        </w:r>
        <w:r>
          <w:rPr>
            <w:noProof/>
          </w:rPr>
          <w:fldChar w:fldCharType="end"/>
        </w:r>
      </w:p>
    </w:sdtContent>
  </w:sdt>
  <w:p w:rsidR="00A4430F" w:rsidRDefault="00A4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A9" w:rsidRDefault="008C19A9">
      <w:r>
        <w:separator/>
      </w:r>
    </w:p>
  </w:footnote>
  <w:footnote w:type="continuationSeparator" w:id="0">
    <w:p w:rsidR="008C19A9" w:rsidRDefault="008C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0F" w:rsidRDefault="00A4430F" w:rsidP="00DA6EA4">
    <w:pPr>
      <w:pStyle w:val="Header"/>
      <w:jc w:val="right"/>
      <w:rPr>
        <w:i/>
      </w:rPr>
    </w:pPr>
  </w:p>
  <w:p w:rsidR="00A4430F" w:rsidRDefault="00A4430F" w:rsidP="00DA6EA4">
    <w:pPr>
      <w:pStyle w:val="Header"/>
      <w:jc w:val="right"/>
    </w:pPr>
  </w:p>
  <w:p w:rsidR="00A4430F" w:rsidRDefault="00A44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0F" w:rsidRDefault="00A4430F" w:rsidP="00DA6EA4">
    <w:pPr>
      <w:pStyle w:val="Header"/>
      <w:jc w:val="right"/>
    </w:pPr>
  </w:p>
  <w:p w:rsidR="00A4430F" w:rsidRDefault="00A4430F" w:rsidP="00DA6EA4">
    <w:pPr>
      <w:pStyle w:val="Header"/>
      <w:jc w:val="right"/>
    </w:pPr>
  </w:p>
  <w:p w:rsidR="00A4430F" w:rsidRPr="00DA6EA4" w:rsidRDefault="00A4430F" w:rsidP="00DA6EA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4292CA"/>
    <w:lvl w:ilvl="0">
      <w:start w:val="1"/>
      <w:numFmt w:val="bullet"/>
      <w:lvlText w:val=""/>
      <w:lvlJc w:val="left"/>
      <w:pPr>
        <w:tabs>
          <w:tab w:val="num" w:pos="360"/>
        </w:tabs>
        <w:ind w:left="360" w:hanging="360"/>
      </w:pPr>
      <w:rPr>
        <w:rFonts w:ascii="Symbol" w:hAnsi="Symbol" w:hint="default"/>
      </w:rPr>
    </w:lvl>
  </w:abstractNum>
  <w:abstractNum w:abstractNumId="1">
    <w:nsid w:val="0A8A74D0"/>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D2070"/>
    <w:multiLevelType w:val="hybridMultilevel"/>
    <w:tmpl w:val="816CB09A"/>
    <w:lvl w:ilvl="0" w:tplc="A9A82A4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20860"/>
    <w:multiLevelType w:val="hybridMultilevel"/>
    <w:tmpl w:val="93769A34"/>
    <w:lvl w:ilvl="0" w:tplc="F7EE2AC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1D3777B9"/>
    <w:multiLevelType w:val="hybridMultilevel"/>
    <w:tmpl w:val="9C808142"/>
    <w:lvl w:ilvl="0" w:tplc="D40C6BC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94821"/>
    <w:multiLevelType w:val="hybridMultilevel"/>
    <w:tmpl w:val="BDDC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50D7"/>
    <w:multiLevelType w:val="hybridMultilevel"/>
    <w:tmpl w:val="03427782"/>
    <w:lvl w:ilvl="0" w:tplc="AC90B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D4A2E"/>
    <w:multiLevelType w:val="singleLevel"/>
    <w:tmpl w:val="F5381F42"/>
    <w:lvl w:ilvl="0">
      <w:start w:val="2"/>
      <w:numFmt w:val="decimal"/>
      <w:lvlText w:val="%1."/>
      <w:lvlJc w:val="left"/>
      <w:pPr>
        <w:tabs>
          <w:tab w:val="num" w:pos="1440"/>
        </w:tabs>
        <w:ind w:left="1440" w:hanging="720"/>
      </w:pPr>
      <w:rPr>
        <w:rFonts w:hint="default"/>
      </w:rPr>
    </w:lvl>
  </w:abstractNum>
  <w:abstractNum w:abstractNumId="8">
    <w:nsid w:val="257F36A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C956DE"/>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87691"/>
    <w:multiLevelType w:val="hybridMultilevel"/>
    <w:tmpl w:val="D64EF170"/>
    <w:lvl w:ilvl="0" w:tplc="40F6AB10">
      <w:start w:val="3"/>
      <w:numFmt w:val="decimal"/>
      <w:lvlText w:val="%1."/>
      <w:lvlJc w:val="left"/>
      <w:pPr>
        <w:tabs>
          <w:tab w:val="num" w:pos="1440"/>
        </w:tabs>
        <w:ind w:left="1440" w:hanging="720"/>
      </w:pPr>
      <w:rPr>
        <w:rFonts w:hint="default"/>
      </w:rPr>
    </w:lvl>
    <w:lvl w:ilvl="1" w:tplc="0A3E3D00" w:tentative="1">
      <w:start w:val="1"/>
      <w:numFmt w:val="lowerLetter"/>
      <w:lvlText w:val="%2."/>
      <w:lvlJc w:val="left"/>
      <w:pPr>
        <w:tabs>
          <w:tab w:val="num" w:pos="1800"/>
        </w:tabs>
        <w:ind w:left="1800" w:hanging="360"/>
      </w:pPr>
    </w:lvl>
    <w:lvl w:ilvl="2" w:tplc="99A28206" w:tentative="1">
      <w:start w:val="1"/>
      <w:numFmt w:val="lowerRoman"/>
      <w:lvlText w:val="%3."/>
      <w:lvlJc w:val="right"/>
      <w:pPr>
        <w:tabs>
          <w:tab w:val="num" w:pos="2520"/>
        </w:tabs>
        <w:ind w:left="2520" w:hanging="180"/>
      </w:pPr>
    </w:lvl>
    <w:lvl w:ilvl="3" w:tplc="B12C6AE6" w:tentative="1">
      <w:start w:val="1"/>
      <w:numFmt w:val="decimal"/>
      <w:lvlText w:val="%4."/>
      <w:lvlJc w:val="left"/>
      <w:pPr>
        <w:tabs>
          <w:tab w:val="num" w:pos="3240"/>
        </w:tabs>
        <w:ind w:left="3240" w:hanging="360"/>
      </w:pPr>
    </w:lvl>
    <w:lvl w:ilvl="4" w:tplc="5CC2D77C" w:tentative="1">
      <w:start w:val="1"/>
      <w:numFmt w:val="lowerLetter"/>
      <w:lvlText w:val="%5."/>
      <w:lvlJc w:val="left"/>
      <w:pPr>
        <w:tabs>
          <w:tab w:val="num" w:pos="3960"/>
        </w:tabs>
        <w:ind w:left="3960" w:hanging="360"/>
      </w:pPr>
    </w:lvl>
    <w:lvl w:ilvl="5" w:tplc="520E5794" w:tentative="1">
      <w:start w:val="1"/>
      <w:numFmt w:val="lowerRoman"/>
      <w:lvlText w:val="%6."/>
      <w:lvlJc w:val="right"/>
      <w:pPr>
        <w:tabs>
          <w:tab w:val="num" w:pos="4680"/>
        </w:tabs>
        <w:ind w:left="4680" w:hanging="180"/>
      </w:pPr>
    </w:lvl>
    <w:lvl w:ilvl="6" w:tplc="5FB4E344" w:tentative="1">
      <w:start w:val="1"/>
      <w:numFmt w:val="decimal"/>
      <w:lvlText w:val="%7."/>
      <w:lvlJc w:val="left"/>
      <w:pPr>
        <w:tabs>
          <w:tab w:val="num" w:pos="5400"/>
        </w:tabs>
        <w:ind w:left="5400" w:hanging="360"/>
      </w:pPr>
    </w:lvl>
    <w:lvl w:ilvl="7" w:tplc="4B6831E4" w:tentative="1">
      <w:start w:val="1"/>
      <w:numFmt w:val="lowerLetter"/>
      <w:lvlText w:val="%8."/>
      <w:lvlJc w:val="left"/>
      <w:pPr>
        <w:tabs>
          <w:tab w:val="num" w:pos="6120"/>
        </w:tabs>
        <w:ind w:left="6120" w:hanging="360"/>
      </w:pPr>
    </w:lvl>
    <w:lvl w:ilvl="8" w:tplc="84008C72" w:tentative="1">
      <w:start w:val="1"/>
      <w:numFmt w:val="lowerRoman"/>
      <w:lvlText w:val="%9."/>
      <w:lvlJc w:val="right"/>
      <w:pPr>
        <w:tabs>
          <w:tab w:val="num" w:pos="6840"/>
        </w:tabs>
        <w:ind w:left="6840" w:hanging="180"/>
      </w:pPr>
    </w:lvl>
  </w:abstractNum>
  <w:abstractNum w:abstractNumId="11">
    <w:nsid w:val="2AB17760"/>
    <w:multiLevelType w:val="hybridMultilevel"/>
    <w:tmpl w:val="88C20074"/>
    <w:lvl w:ilvl="0" w:tplc="17244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372E6A"/>
    <w:multiLevelType w:val="hybridMultilevel"/>
    <w:tmpl w:val="F7A2C9D6"/>
    <w:lvl w:ilvl="0" w:tplc="D2A80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B20BE"/>
    <w:multiLevelType w:val="hybridMultilevel"/>
    <w:tmpl w:val="5D8A1538"/>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34F97302"/>
    <w:multiLevelType w:val="hybridMultilevel"/>
    <w:tmpl w:val="E1F87D2E"/>
    <w:lvl w:ilvl="0" w:tplc="43FEC73C">
      <w:start w:val="1"/>
      <w:numFmt w:val="upperRoman"/>
      <w:lvlText w:val="%1."/>
      <w:lvlJc w:val="left"/>
      <w:pPr>
        <w:tabs>
          <w:tab w:val="num" w:pos="1630"/>
        </w:tabs>
        <w:ind w:left="1630" w:hanging="720"/>
      </w:pPr>
      <w:rPr>
        <w:rFonts w:hint="default"/>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5">
    <w:nsid w:val="378F1907"/>
    <w:multiLevelType w:val="hybridMultilevel"/>
    <w:tmpl w:val="62F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7B7D"/>
    <w:multiLevelType w:val="hybridMultilevel"/>
    <w:tmpl w:val="82A67DFE"/>
    <w:lvl w:ilvl="0" w:tplc="F53C9BD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06AF0"/>
    <w:multiLevelType w:val="hybridMultilevel"/>
    <w:tmpl w:val="964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401ED"/>
    <w:multiLevelType w:val="hybridMultilevel"/>
    <w:tmpl w:val="E0D4BD82"/>
    <w:lvl w:ilvl="0" w:tplc="59D6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D2F11"/>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282B04"/>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914AE2"/>
    <w:multiLevelType w:val="hybridMultilevel"/>
    <w:tmpl w:val="2708E516"/>
    <w:lvl w:ilvl="0" w:tplc="B64C2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D0449D"/>
    <w:multiLevelType w:val="singleLevel"/>
    <w:tmpl w:val="DD42AB4E"/>
    <w:lvl w:ilvl="0">
      <w:start w:val="2"/>
      <w:numFmt w:val="decimal"/>
      <w:lvlText w:val="%1."/>
      <w:lvlJc w:val="left"/>
      <w:pPr>
        <w:tabs>
          <w:tab w:val="num" w:pos="1080"/>
        </w:tabs>
        <w:ind w:left="1080" w:hanging="360"/>
      </w:pPr>
      <w:rPr>
        <w:rFonts w:hint="default"/>
      </w:rPr>
    </w:lvl>
  </w:abstractNum>
  <w:abstractNum w:abstractNumId="23">
    <w:nsid w:val="4F5A0354"/>
    <w:multiLevelType w:val="hybridMultilevel"/>
    <w:tmpl w:val="0074AD18"/>
    <w:lvl w:ilvl="0" w:tplc="64D49D2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716CB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292F8B"/>
    <w:multiLevelType w:val="hybridMultilevel"/>
    <w:tmpl w:val="0F9C47CC"/>
    <w:lvl w:ilvl="0" w:tplc="0F74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5015D1F"/>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158E3"/>
    <w:multiLevelType w:val="hybridMultilevel"/>
    <w:tmpl w:val="9D72AAB2"/>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6803F14"/>
    <w:multiLevelType w:val="hybridMultilevel"/>
    <w:tmpl w:val="31D88902"/>
    <w:lvl w:ilvl="0" w:tplc="961410B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0737B0"/>
    <w:multiLevelType w:val="hybridMultilevel"/>
    <w:tmpl w:val="F702A948"/>
    <w:lvl w:ilvl="0" w:tplc="F6629E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98C0A1D"/>
    <w:multiLevelType w:val="hybridMultilevel"/>
    <w:tmpl w:val="AD5666D2"/>
    <w:lvl w:ilvl="0" w:tplc="DB7CE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2332F"/>
    <w:multiLevelType w:val="singleLevel"/>
    <w:tmpl w:val="B046DE6E"/>
    <w:lvl w:ilvl="0">
      <w:start w:val="1"/>
      <w:numFmt w:val="decimal"/>
      <w:lvlText w:val="%1."/>
      <w:lvlJc w:val="left"/>
      <w:pPr>
        <w:tabs>
          <w:tab w:val="num" w:pos="360"/>
        </w:tabs>
        <w:ind w:left="360" w:hanging="360"/>
      </w:pPr>
      <w:rPr>
        <w:rFonts w:ascii="CG Times" w:hAnsi="CG Times" w:hint="default"/>
      </w:rPr>
    </w:lvl>
  </w:abstractNum>
  <w:abstractNum w:abstractNumId="32">
    <w:nsid w:val="6089283A"/>
    <w:multiLevelType w:val="hybridMultilevel"/>
    <w:tmpl w:val="FF12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4102B"/>
    <w:multiLevelType w:val="singleLevel"/>
    <w:tmpl w:val="04090013"/>
    <w:lvl w:ilvl="0">
      <w:start w:val="1"/>
      <w:numFmt w:val="upperRoman"/>
      <w:lvlText w:val="%1."/>
      <w:lvlJc w:val="left"/>
      <w:pPr>
        <w:tabs>
          <w:tab w:val="num" w:pos="720"/>
        </w:tabs>
        <w:ind w:left="720" w:hanging="720"/>
      </w:pPr>
      <w:rPr>
        <w:rFonts w:hint="default"/>
      </w:rPr>
    </w:lvl>
  </w:abstractNum>
  <w:abstractNum w:abstractNumId="34">
    <w:nsid w:val="66EC3E37"/>
    <w:multiLevelType w:val="hybridMultilevel"/>
    <w:tmpl w:val="BDDC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A4D86"/>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815A81"/>
    <w:multiLevelType w:val="hybridMultilevel"/>
    <w:tmpl w:val="1864FD38"/>
    <w:lvl w:ilvl="0" w:tplc="18141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201C2F"/>
    <w:multiLevelType w:val="hybridMultilevel"/>
    <w:tmpl w:val="0C20A4E4"/>
    <w:lvl w:ilvl="0" w:tplc="14A44F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1B435C"/>
    <w:multiLevelType w:val="hybridMultilevel"/>
    <w:tmpl w:val="D22A3D14"/>
    <w:lvl w:ilvl="0" w:tplc="A282C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F1A7C"/>
    <w:multiLevelType w:val="hybridMultilevel"/>
    <w:tmpl w:val="D4520466"/>
    <w:lvl w:ilvl="0" w:tplc="F5567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C82DC9"/>
    <w:multiLevelType w:val="hybridMultilevel"/>
    <w:tmpl w:val="979A9ACC"/>
    <w:lvl w:ilvl="0" w:tplc="1D302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7B6753"/>
    <w:multiLevelType w:val="hybridMultilevel"/>
    <w:tmpl w:val="02C0CD82"/>
    <w:lvl w:ilvl="0" w:tplc="32E26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E3AB3"/>
    <w:multiLevelType w:val="hybridMultilevel"/>
    <w:tmpl w:val="964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7"/>
  </w:num>
  <w:num w:numId="4">
    <w:abstractNumId w:val="22"/>
  </w:num>
  <w:num w:numId="5">
    <w:abstractNumId w:val="28"/>
  </w:num>
  <w:num w:numId="6">
    <w:abstractNumId w:val="4"/>
  </w:num>
  <w:num w:numId="7">
    <w:abstractNumId w:val="30"/>
  </w:num>
  <w:num w:numId="8">
    <w:abstractNumId w:val="23"/>
  </w:num>
  <w:num w:numId="9">
    <w:abstractNumId w:val="33"/>
  </w:num>
  <w:num w:numId="10">
    <w:abstractNumId w:val="37"/>
  </w:num>
  <w:num w:numId="11">
    <w:abstractNumId w:val="12"/>
  </w:num>
  <w:num w:numId="12">
    <w:abstractNumId w:val="29"/>
  </w:num>
  <w:num w:numId="13">
    <w:abstractNumId w:val="25"/>
  </w:num>
  <w:num w:numId="14">
    <w:abstractNumId w:val="38"/>
  </w:num>
  <w:num w:numId="15">
    <w:abstractNumId w:val="27"/>
  </w:num>
  <w:num w:numId="16">
    <w:abstractNumId w:val="14"/>
  </w:num>
  <w:num w:numId="17">
    <w:abstractNumId w:val="0"/>
  </w:num>
  <w:num w:numId="18">
    <w:abstractNumId w:val="9"/>
  </w:num>
  <w:num w:numId="19">
    <w:abstractNumId w:val="21"/>
  </w:num>
  <w:num w:numId="20">
    <w:abstractNumId w:val="32"/>
  </w:num>
  <w:num w:numId="21">
    <w:abstractNumId w:val="1"/>
  </w:num>
  <w:num w:numId="22">
    <w:abstractNumId w:val="19"/>
  </w:num>
  <w:num w:numId="23">
    <w:abstractNumId w:val="35"/>
  </w:num>
  <w:num w:numId="24">
    <w:abstractNumId w:val="20"/>
  </w:num>
  <w:num w:numId="25">
    <w:abstractNumId w:val="8"/>
  </w:num>
  <w:num w:numId="26">
    <w:abstractNumId w:val="24"/>
  </w:num>
  <w:num w:numId="27">
    <w:abstractNumId w:val="26"/>
  </w:num>
  <w:num w:numId="28">
    <w:abstractNumId w:val="36"/>
  </w:num>
  <w:num w:numId="29">
    <w:abstractNumId w:val="17"/>
  </w:num>
  <w:num w:numId="30">
    <w:abstractNumId w:val="2"/>
  </w:num>
  <w:num w:numId="31">
    <w:abstractNumId w:val="42"/>
  </w:num>
  <w:num w:numId="32">
    <w:abstractNumId w:val="18"/>
  </w:num>
  <w:num w:numId="33">
    <w:abstractNumId w:val="13"/>
  </w:num>
  <w:num w:numId="34">
    <w:abstractNumId w:val="3"/>
  </w:num>
  <w:num w:numId="35">
    <w:abstractNumId w:val="39"/>
  </w:num>
  <w:num w:numId="36">
    <w:abstractNumId w:val="6"/>
  </w:num>
  <w:num w:numId="37">
    <w:abstractNumId w:val="11"/>
  </w:num>
  <w:num w:numId="38">
    <w:abstractNumId w:val="40"/>
  </w:num>
  <w:num w:numId="39">
    <w:abstractNumId w:val="41"/>
  </w:num>
  <w:num w:numId="40">
    <w:abstractNumId w:val="34"/>
  </w:num>
  <w:num w:numId="41">
    <w:abstractNumId w:val="5"/>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GEAUFR8K8UlIGg2fDQK3X1tKO8=" w:salt="AE2SEos2d4bKtjgvSbUh/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40"/>
    <w:rsid w:val="000033BA"/>
    <w:rsid w:val="0000479E"/>
    <w:rsid w:val="0001156D"/>
    <w:rsid w:val="000260D6"/>
    <w:rsid w:val="000262C4"/>
    <w:rsid w:val="000268D6"/>
    <w:rsid w:val="00031CDB"/>
    <w:rsid w:val="0003668F"/>
    <w:rsid w:val="00037F2A"/>
    <w:rsid w:val="00040021"/>
    <w:rsid w:val="0004288C"/>
    <w:rsid w:val="000526C6"/>
    <w:rsid w:val="00052B53"/>
    <w:rsid w:val="000550FE"/>
    <w:rsid w:val="000624C4"/>
    <w:rsid w:val="00063368"/>
    <w:rsid w:val="00063C6E"/>
    <w:rsid w:val="00064C38"/>
    <w:rsid w:val="00067B0E"/>
    <w:rsid w:val="00071D9B"/>
    <w:rsid w:val="00071F84"/>
    <w:rsid w:val="000746F3"/>
    <w:rsid w:val="000847FD"/>
    <w:rsid w:val="00091965"/>
    <w:rsid w:val="000B5EF2"/>
    <w:rsid w:val="000C1234"/>
    <w:rsid w:val="000C32F9"/>
    <w:rsid w:val="000C38B5"/>
    <w:rsid w:val="000C40C3"/>
    <w:rsid w:val="000C7EFC"/>
    <w:rsid w:val="000D0EF8"/>
    <w:rsid w:val="000D3553"/>
    <w:rsid w:val="000D3F5D"/>
    <w:rsid w:val="000D7438"/>
    <w:rsid w:val="000E001E"/>
    <w:rsid w:val="000E0754"/>
    <w:rsid w:val="000E0866"/>
    <w:rsid w:val="000E47CE"/>
    <w:rsid w:val="000E6600"/>
    <w:rsid w:val="000F01D1"/>
    <w:rsid w:val="000F753D"/>
    <w:rsid w:val="00100EC8"/>
    <w:rsid w:val="001010EB"/>
    <w:rsid w:val="001022F1"/>
    <w:rsid w:val="00103702"/>
    <w:rsid w:val="0010591A"/>
    <w:rsid w:val="00114058"/>
    <w:rsid w:val="00114CE1"/>
    <w:rsid w:val="001167BE"/>
    <w:rsid w:val="0012508E"/>
    <w:rsid w:val="00125BAA"/>
    <w:rsid w:val="0012699E"/>
    <w:rsid w:val="0012775C"/>
    <w:rsid w:val="001323F1"/>
    <w:rsid w:val="00134BBD"/>
    <w:rsid w:val="0013742D"/>
    <w:rsid w:val="00140A4C"/>
    <w:rsid w:val="00140A8B"/>
    <w:rsid w:val="00141914"/>
    <w:rsid w:val="0014343A"/>
    <w:rsid w:val="001443AD"/>
    <w:rsid w:val="00145283"/>
    <w:rsid w:val="001457C3"/>
    <w:rsid w:val="001466ED"/>
    <w:rsid w:val="0015361E"/>
    <w:rsid w:val="00154550"/>
    <w:rsid w:val="001545AD"/>
    <w:rsid w:val="00164D8B"/>
    <w:rsid w:val="00167B84"/>
    <w:rsid w:val="001721AF"/>
    <w:rsid w:val="00173D96"/>
    <w:rsid w:val="00177B42"/>
    <w:rsid w:val="001805A9"/>
    <w:rsid w:val="001824CC"/>
    <w:rsid w:val="00187118"/>
    <w:rsid w:val="00187960"/>
    <w:rsid w:val="00187AC6"/>
    <w:rsid w:val="00187D94"/>
    <w:rsid w:val="001901F7"/>
    <w:rsid w:val="00192B54"/>
    <w:rsid w:val="001A6355"/>
    <w:rsid w:val="001B452E"/>
    <w:rsid w:val="001B5641"/>
    <w:rsid w:val="001C2468"/>
    <w:rsid w:val="001C263F"/>
    <w:rsid w:val="001C3049"/>
    <w:rsid w:val="001C7DCA"/>
    <w:rsid w:val="001D3872"/>
    <w:rsid w:val="001D3A24"/>
    <w:rsid w:val="001D5ACC"/>
    <w:rsid w:val="001D7D2A"/>
    <w:rsid w:val="001E1FC8"/>
    <w:rsid w:val="001E4987"/>
    <w:rsid w:val="001E6DA6"/>
    <w:rsid w:val="001F01A5"/>
    <w:rsid w:val="001F021B"/>
    <w:rsid w:val="001F1EB8"/>
    <w:rsid w:val="001F6E16"/>
    <w:rsid w:val="00200334"/>
    <w:rsid w:val="00201BF4"/>
    <w:rsid w:val="002046D6"/>
    <w:rsid w:val="00204ADB"/>
    <w:rsid w:val="00211645"/>
    <w:rsid w:val="00214E2C"/>
    <w:rsid w:val="00231150"/>
    <w:rsid w:val="0023349A"/>
    <w:rsid w:val="00235E48"/>
    <w:rsid w:val="00236E31"/>
    <w:rsid w:val="00242146"/>
    <w:rsid w:val="00245C4B"/>
    <w:rsid w:val="002516BB"/>
    <w:rsid w:val="002526C3"/>
    <w:rsid w:val="00252744"/>
    <w:rsid w:val="0025791F"/>
    <w:rsid w:val="00263020"/>
    <w:rsid w:val="002652F2"/>
    <w:rsid w:val="00265906"/>
    <w:rsid w:val="002661F8"/>
    <w:rsid w:val="002711B2"/>
    <w:rsid w:val="002752E2"/>
    <w:rsid w:val="0027579D"/>
    <w:rsid w:val="00292833"/>
    <w:rsid w:val="002932C0"/>
    <w:rsid w:val="0029384A"/>
    <w:rsid w:val="00294027"/>
    <w:rsid w:val="00294673"/>
    <w:rsid w:val="00296665"/>
    <w:rsid w:val="002A076C"/>
    <w:rsid w:val="002A0DEE"/>
    <w:rsid w:val="002A167F"/>
    <w:rsid w:val="002A2E97"/>
    <w:rsid w:val="002B215C"/>
    <w:rsid w:val="002B26AE"/>
    <w:rsid w:val="002B6658"/>
    <w:rsid w:val="002D1CB3"/>
    <w:rsid w:val="002D2741"/>
    <w:rsid w:val="002D2FA4"/>
    <w:rsid w:val="002D40C1"/>
    <w:rsid w:val="002D4595"/>
    <w:rsid w:val="002D5B5A"/>
    <w:rsid w:val="002D601D"/>
    <w:rsid w:val="002E0AC0"/>
    <w:rsid w:val="002E1929"/>
    <w:rsid w:val="002E3B38"/>
    <w:rsid w:val="002F058C"/>
    <w:rsid w:val="002F170A"/>
    <w:rsid w:val="002F2EA7"/>
    <w:rsid w:val="002F4EA3"/>
    <w:rsid w:val="002F5A63"/>
    <w:rsid w:val="002F7DEB"/>
    <w:rsid w:val="00311752"/>
    <w:rsid w:val="00312128"/>
    <w:rsid w:val="003122FA"/>
    <w:rsid w:val="0031532E"/>
    <w:rsid w:val="003201E6"/>
    <w:rsid w:val="00321473"/>
    <w:rsid w:val="00322313"/>
    <w:rsid w:val="00322623"/>
    <w:rsid w:val="00334115"/>
    <w:rsid w:val="0033458D"/>
    <w:rsid w:val="003346B4"/>
    <w:rsid w:val="00355D9C"/>
    <w:rsid w:val="00356964"/>
    <w:rsid w:val="00356C4E"/>
    <w:rsid w:val="00363714"/>
    <w:rsid w:val="00364638"/>
    <w:rsid w:val="00364712"/>
    <w:rsid w:val="00364A77"/>
    <w:rsid w:val="00364CB6"/>
    <w:rsid w:val="00373913"/>
    <w:rsid w:val="00376184"/>
    <w:rsid w:val="00376CBA"/>
    <w:rsid w:val="0037781C"/>
    <w:rsid w:val="00382752"/>
    <w:rsid w:val="003856A1"/>
    <w:rsid w:val="003A0954"/>
    <w:rsid w:val="003A2140"/>
    <w:rsid w:val="003A22EC"/>
    <w:rsid w:val="003A2E79"/>
    <w:rsid w:val="003A563F"/>
    <w:rsid w:val="003B06B9"/>
    <w:rsid w:val="003B3E01"/>
    <w:rsid w:val="003B572F"/>
    <w:rsid w:val="003C1F4C"/>
    <w:rsid w:val="003C21C6"/>
    <w:rsid w:val="003C239A"/>
    <w:rsid w:val="003D142A"/>
    <w:rsid w:val="003D15B1"/>
    <w:rsid w:val="003D264C"/>
    <w:rsid w:val="003D337F"/>
    <w:rsid w:val="003D4020"/>
    <w:rsid w:val="003D602A"/>
    <w:rsid w:val="003E065D"/>
    <w:rsid w:val="003E1A55"/>
    <w:rsid w:val="003E2745"/>
    <w:rsid w:val="003E4407"/>
    <w:rsid w:val="003E677D"/>
    <w:rsid w:val="003E78C6"/>
    <w:rsid w:val="003E7A5F"/>
    <w:rsid w:val="003F0508"/>
    <w:rsid w:val="003F0EA0"/>
    <w:rsid w:val="003F11ED"/>
    <w:rsid w:val="004029B6"/>
    <w:rsid w:val="00402B68"/>
    <w:rsid w:val="00404866"/>
    <w:rsid w:val="00404A1A"/>
    <w:rsid w:val="00406505"/>
    <w:rsid w:val="00410C10"/>
    <w:rsid w:val="00415C2F"/>
    <w:rsid w:val="00422EA9"/>
    <w:rsid w:val="004230D2"/>
    <w:rsid w:val="00423FBA"/>
    <w:rsid w:val="004246A4"/>
    <w:rsid w:val="004263F8"/>
    <w:rsid w:val="00427A7D"/>
    <w:rsid w:val="00431CBE"/>
    <w:rsid w:val="00433D30"/>
    <w:rsid w:val="00436783"/>
    <w:rsid w:val="00442FFA"/>
    <w:rsid w:val="004536F9"/>
    <w:rsid w:val="00453C8D"/>
    <w:rsid w:val="00456E8B"/>
    <w:rsid w:val="00461A06"/>
    <w:rsid w:val="00461D64"/>
    <w:rsid w:val="004626C2"/>
    <w:rsid w:val="0046485C"/>
    <w:rsid w:val="0046487C"/>
    <w:rsid w:val="00466E58"/>
    <w:rsid w:val="00476308"/>
    <w:rsid w:val="004771AA"/>
    <w:rsid w:val="00480044"/>
    <w:rsid w:val="004826C7"/>
    <w:rsid w:val="004832E1"/>
    <w:rsid w:val="00490238"/>
    <w:rsid w:val="004923C2"/>
    <w:rsid w:val="00495EA7"/>
    <w:rsid w:val="004A2C5E"/>
    <w:rsid w:val="004A2DFE"/>
    <w:rsid w:val="004A323B"/>
    <w:rsid w:val="004A4C6A"/>
    <w:rsid w:val="004A647F"/>
    <w:rsid w:val="004A7765"/>
    <w:rsid w:val="004B03FD"/>
    <w:rsid w:val="004B139B"/>
    <w:rsid w:val="004B22A7"/>
    <w:rsid w:val="004B241B"/>
    <w:rsid w:val="004B3554"/>
    <w:rsid w:val="004B3C21"/>
    <w:rsid w:val="004B5B55"/>
    <w:rsid w:val="004B7C48"/>
    <w:rsid w:val="004C1E86"/>
    <w:rsid w:val="004C3E2E"/>
    <w:rsid w:val="004C5F75"/>
    <w:rsid w:val="004D1719"/>
    <w:rsid w:val="004D23A8"/>
    <w:rsid w:val="004D2870"/>
    <w:rsid w:val="004D67A8"/>
    <w:rsid w:val="004E0B25"/>
    <w:rsid w:val="004E1F64"/>
    <w:rsid w:val="004E222E"/>
    <w:rsid w:val="004E421E"/>
    <w:rsid w:val="004F0817"/>
    <w:rsid w:val="004F1229"/>
    <w:rsid w:val="004F32E8"/>
    <w:rsid w:val="004F4F9A"/>
    <w:rsid w:val="004F77A4"/>
    <w:rsid w:val="005040B7"/>
    <w:rsid w:val="00506650"/>
    <w:rsid w:val="0051074F"/>
    <w:rsid w:val="00513FCE"/>
    <w:rsid w:val="0051487A"/>
    <w:rsid w:val="00515833"/>
    <w:rsid w:val="0052071E"/>
    <w:rsid w:val="005222EA"/>
    <w:rsid w:val="0052419A"/>
    <w:rsid w:val="005248A3"/>
    <w:rsid w:val="005264FF"/>
    <w:rsid w:val="00527E21"/>
    <w:rsid w:val="00535A40"/>
    <w:rsid w:val="00540A85"/>
    <w:rsid w:val="00540D55"/>
    <w:rsid w:val="005417E5"/>
    <w:rsid w:val="005422BE"/>
    <w:rsid w:val="0055143C"/>
    <w:rsid w:val="00556594"/>
    <w:rsid w:val="0055772D"/>
    <w:rsid w:val="00562C73"/>
    <w:rsid w:val="00563C77"/>
    <w:rsid w:val="00565210"/>
    <w:rsid w:val="005729FA"/>
    <w:rsid w:val="0057342E"/>
    <w:rsid w:val="00577723"/>
    <w:rsid w:val="00580FA2"/>
    <w:rsid w:val="00582019"/>
    <w:rsid w:val="0058233D"/>
    <w:rsid w:val="00587E1D"/>
    <w:rsid w:val="0059076A"/>
    <w:rsid w:val="005974EC"/>
    <w:rsid w:val="005A4F00"/>
    <w:rsid w:val="005B17D2"/>
    <w:rsid w:val="005B3D38"/>
    <w:rsid w:val="005B693E"/>
    <w:rsid w:val="005C0FE0"/>
    <w:rsid w:val="005D17F2"/>
    <w:rsid w:val="005D2F36"/>
    <w:rsid w:val="005D4983"/>
    <w:rsid w:val="005E060C"/>
    <w:rsid w:val="005E17E8"/>
    <w:rsid w:val="005E67D5"/>
    <w:rsid w:val="005E70D8"/>
    <w:rsid w:val="005E7D92"/>
    <w:rsid w:val="005F223D"/>
    <w:rsid w:val="005F446E"/>
    <w:rsid w:val="005F4D09"/>
    <w:rsid w:val="005F7CD5"/>
    <w:rsid w:val="006106CA"/>
    <w:rsid w:val="00616613"/>
    <w:rsid w:val="00621A2A"/>
    <w:rsid w:val="00621BD3"/>
    <w:rsid w:val="00625402"/>
    <w:rsid w:val="00630997"/>
    <w:rsid w:val="00641B2A"/>
    <w:rsid w:val="00641BDD"/>
    <w:rsid w:val="00650CF9"/>
    <w:rsid w:val="0065560F"/>
    <w:rsid w:val="00670AE0"/>
    <w:rsid w:val="0067379A"/>
    <w:rsid w:val="00673BEE"/>
    <w:rsid w:val="00683BEF"/>
    <w:rsid w:val="00690B03"/>
    <w:rsid w:val="00693CD2"/>
    <w:rsid w:val="00694044"/>
    <w:rsid w:val="00694488"/>
    <w:rsid w:val="00695AE3"/>
    <w:rsid w:val="00697E49"/>
    <w:rsid w:val="006B2827"/>
    <w:rsid w:val="006B2E59"/>
    <w:rsid w:val="006B3AFE"/>
    <w:rsid w:val="006B4514"/>
    <w:rsid w:val="006B72EE"/>
    <w:rsid w:val="006B7789"/>
    <w:rsid w:val="006C1EB5"/>
    <w:rsid w:val="006C3F57"/>
    <w:rsid w:val="006D0D43"/>
    <w:rsid w:val="006D51F9"/>
    <w:rsid w:val="006D575F"/>
    <w:rsid w:val="006E0CB7"/>
    <w:rsid w:val="006E237E"/>
    <w:rsid w:val="006E6A99"/>
    <w:rsid w:val="006E715C"/>
    <w:rsid w:val="006F1C63"/>
    <w:rsid w:val="006F2A0B"/>
    <w:rsid w:val="006F3688"/>
    <w:rsid w:val="006F5CE7"/>
    <w:rsid w:val="006F72F3"/>
    <w:rsid w:val="006F739D"/>
    <w:rsid w:val="006F7821"/>
    <w:rsid w:val="006F7EA1"/>
    <w:rsid w:val="00700333"/>
    <w:rsid w:val="00704A7E"/>
    <w:rsid w:val="007103B3"/>
    <w:rsid w:val="00710491"/>
    <w:rsid w:val="00710B33"/>
    <w:rsid w:val="007118BB"/>
    <w:rsid w:val="007163C4"/>
    <w:rsid w:val="00716E83"/>
    <w:rsid w:val="0072258D"/>
    <w:rsid w:val="00724981"/>
    <w:rsid w:val="00734899"/>
    <w:rsid w:val="007350FD"/>
    <w:rsid w:val="00741B08"/>
    <w:rsid w:val="00746C17"/>
    <w:rsid w:val="00746FBF"/>
    <w:rsid w:val="007474E6"/>
    <w:rsid w:val="0075104F"/>
    <w:rsid w:val="0075401F"/>
    <w:rsid w:val="0075438A"/>
    <w:rsid w:val="00755B77"/>
    <w:rsid w:val="00756ABC"/>
    <w:rsid w:val="007622E9"/>
    <w:rsid w:val="0076499A"/>
    <w:rsid w:val="0077039C"/>
    <w:rsid w:val="0077121C"/>
    <w:rsid w:val="00772781"/>
    <w:rsid w:val="00772F6B"/>
    <w:rsid w:val="00774A3B"/>
    <w:rsid w:val="00775B2E"/>
    <w:rsid w:val="00781D5D"/>
    <w:rsid w:val="00781E90"/>
    <w:rsid w:val="007820EC"/>
    <w:rsid w:val="00786E2D"/>
    <w:rsid w:val="00787FB2"/>
    <w:rsid w:val="007917FA"/>
    <w:rsid w:val="00795469"/>
    <w:rsid w:val="007B002D"/>
    <w:rsid w:val="007B3105"/>
    <w:rsid w:val="007B36E1"/>
    <w:rsid w:val="007B4335"/>
    <w:rsid w:val="007B5264"/>
    <w:rsid w:val="007C0594"/>
    <w:rsid w:val="007C2AD0"/>
    <w:rsid w:val="007C46E9"/>
    <w:rsid w:val="007D7C1B"/>
    <w:rsid w:val="007E0313"/>
    <w:rsid w:val="007E2DDF"/>
    <w:rsid w:val="007E5918"/>
    <w:rsid w:val="007E6091"/>
    <w:rsid w:val="007E633D"/>
    <w:rsid w:val="007F165F"/>
    <w:rsid w:val="00800D0D"/>
    <w:rsid w:val="00800F98"/>
    <w:rsid w:val="008038B1"/>
    <w:rsid w:val="00806C21"/>
    <w:rsid w:val="00807DE3"/>
    <w:rsid w:val="008113BF"/>
    <w:rsid w:val="008119BE"/>
    <w:rsid w:val="00812BFB"/>
    <w:rsid w:val="00812DAA"/>
    <w:rsid w:val="00814987"/>
    <w:rsid w:val="00817274"/>
    <w:rsid w:val="008178D7"/>
    <w:rsid w:val="00821A5A"/>
    <w:rsid w:val="0082483D"/>
    <w:rsid w:val="00824BF3"/>
    <w:rsid w:val="008311B3"/>
    <w:rsid w:val="00832459"/>
    <w:rsid w:val="008340A3"/>
    <w:rsid w:val="00834C03"/>
    <w:rsid w:val="00836DF7"/>
    <w:rsid w:val="00840121"/>
    <w:rsid w:val="00843A44"/>
    <w:rsid w:val="008468B5"/>
    <w:rsid w:val="00852555"/>
    <w:rsid w:val="00852C98"/>
    <w:rsid w:val="00854DC2"/>
    <w:rsid w:val="00865017"/>
    <w:rsid w:val="008715AF"/>
    <w:rsid w:val="00872F13"/>
    <w:rsid w:val="008763BC"/>
    <w:rsid w:val="00880FE9"/>
    <w:rsid w:val="0088498A"/>
    <w:rsid w:val="00885A1E"/>
    <w:rsid w:val="00886C8B"/>
    <w:rsid w:val="008929EE"/>
    <w:rsid w:val="0089378F"/>
    <w:rsid w:val="00893DBE"/>
    <w:rsid w:val="00894F21"/>
    <w:rsid w:val="008A0EB0"/>
    <w:rsid w:val="008A2385"/>
    <w:rsid w:val="008A30CD"/>
    <w:rsid w:val="008A594E"/>
    <w:rsid w:val="008A704B"/>
    <w:rsid w:val="008A7871"/>
    <w:rsid w:val="008B5E7E"/>
    <w:rsid w:val="008B6634"/>
    <w:rsid w:val="008C18AA"/>
    <w:rsid w:val="008C19A9"/>
    <w:rsid w:val="008C5291"/>
    <w:rsid w:val="008C544C"/>
    <w:rsid w:val="008C5C3B"/>
    <w:rsid w:val="008C6ABF"/>
    <w:rsid w:val="008D5456"/>
    <w:rsid w:val="008E18CA"/>
    <w:rsid w:val="008E33CC"/>
    <w:rsid w:val="008F097E"/>
    <w:rsid w:val="008F0A0C"/>
    <w:rsid w:val="008F1556"/>
    <w:rsid w:val="008F1B68"/>
    <w:rsid w:val="008F5D2E"/>
    <w:rsid w:val="008F67CC"/>
    <w:rsid w:val="00901E65"/>
    <w:rsid w:val="0090478F"/>
    <w:rsid w:val="00907E38"/>
    <w:rsid w:val="009106E3"/>
    <w:rsid w:val="00914D80"/>
    <w:rsid w:val="0091714D"/>
    <w:rsid w:val="00922225"/>
    <w:rsid w:val="0092420C"/>
    <w:rsid w:val="00926C2C"/>
    <w:rsid w:val="009315A2"/>
    <w:rsid w:val="00932A94"/>
    <w:rsid w:val="009337E3"/>
    <w:rsid w:val="00941EFB"/>
    <w:rsid w:val="009434B2"/>
    <w:rsid w:val="009437E0"/>
    <w:rsid w:val="0094600C"/>
    <w:rsid w:val="0095117D"/>
    <w:rsid w:val="009526F7"/>
    <w:rsid w:val="00954786"/>
    <w:rsid w:val="009678E6"/>
    <w:rsid w:val="00974554"/>
    <w:rsid w:val="00976DEF"/>
    <w:rsid w:val="00977FE6"/>
    <w:rsid w:val="00980833"/>
    <w:rsid w:val="00981FF3"/>
    <w:rsid w:val="0098627A"/>
    <w:rsid w:val="009920AA"/>
    <w:rsid w:val="0099213E"/>
    <w:rsid w:val="00996AA0"/>
    <w:rsid w:val="009A4139"/>
    <w:rsid w:val="009A4561"/>
    <w:rsid w:val="009A5214"/>
    <w:rsid w:val="009B292B"/>
    <w:rsid w:val="009B514B"/>
    <w:rsid w:val="009C0D6D"/>
    <w:rsid w:val="009C14F8"/>
    <w:rsid w:val="009C37FB"/>
    <w:rsid w:val="009C6FD7"/>
    <w:rsid w:val="009C7DCF"/>
    <w:rsid w:val="009D2A55"/>
    <w:rsid w:val="009D32C8"/>
    <w:rsid w:val="009D41E9"/>
    <w:rsid w:val="009D69C0"/>
    <w:rsid w:val="009D7C3A"/>
    <w:rsid w:val="009E0EBD"/>
    <w:rsid w:val="009E572F"/>
    <w:rsid w:val="009E6952"/>
    <w:rsid w:val="009F45E2"/>
    <w:rsid w:val="009F4DF7"/>
    <w:rsid w:val="009F4E2B"/>
    <w:rsid w:val="009F759B"/>
    <w:rsid w:val="00A00620"/>
    <w:rsid w:val="00A048AC"/>
    <w:rsid w:val="00A076D2"/>
    <w:rsid w:val="00A079CD"/>
    <w:rsid w:val="00A07D57"/>
    <w:rsid w:val="00A10458"/>
    <w:rsid w:val="00A10668"/>
    <w:rsid w:val="00A1730A"/>
    <w:rsid w:val="00A20BC9"/>
    <w:rsid w:val="00A2141C"/>
    <w:rsid w:val="00A23D32"/>
    <w:rsid w:val="00A26EAC"/>
    <w:rsid w:val="00A328D0"/>
    <w:rsid w:val="00A339BF"/>
    <w:rsid w:val="00A34165"/>
    <w:rsid w:val="00A3509C"/>
    <w:rsid w:val="00A35F61"/>
    <w:rsid w:val="00A36060"/>
    <w:rsid w:val="00A36A2A"/>
    <w:rsid w:val="00A37EC5"/>
    <w:rsid w:val="00A40311"/>
    <w:rsid w:val="00A42BF5"/>
    <w:rsid w:val="00A4430F"/>
    <w:rsid w:val="00A44347"/>
    <w:rsid w:val="00A50AA7"/>
    <w:rsid w:val="00A51E25"/>
    <w:rsid w:val="00A5715B"/>
    <w:rsid w:val="00A63D39"/>
    <w:rsid w:val="00A63E5D"/>
    <w:rsid w:val="00A6537C"/>
    <w:rsid w:val="00A6742C"/>
    <w:rsid w:val="00A6768A"/>
    <w:rsid w:val="00A7029D"/>
    <w:rsid w:val="00A70D9A"/>
    <w:rsid w:val="00A7231D"/>
    <w:rsid w:val="00A7572C"/>
    <w:rsid w:val="00A759CF"/>
    <w:rsid w:val="00A86967"/>
    <w:rsid w:val="00A91C71"/>
    <w:rsid w:val="00AA1609"/>
    <w:rsid w:val="00AA22E9"/>
    <w:rsid w:val="00AB3A1C"/>
    <w:rsid w:val="00AB60E0"/>
    <w:rsid w:val="00AB7048"/>
    <w:rsid w:val="00AC18FE"/>
    <w:rsid w:val="00AC44B9"/>
    <w:rsid w:val="00AC4E34"/>
    <w:rsid w:val="00AC6AD4"/>
    <w:rsid w:val="00AD3BA6"/>
    <w:rsid w:val="00AD45B5"/>
    <w:rsid w:val="00AE38D1"/>
    <w:rsid w:val="00AF70A3"/>
    <w:rsid w:val="00B00726"/>
    <w:rsid w:val="00B10F38"/>
    <w:rsid w:val="00B114C4"/>
    <w:rsid w:val="00B13CA0"/>
    <w:rsid w:val="00B2006F"/>
    <w:rsid w:val="00B20207"/>
    <w:rsid w:val="00B21AFD"/>
    <w:rsid w:val="00B226AD"/>
    <w:rsid w:val="00B23D27"/>
    <w:rsid w:val="00B25E17"/>
    <w:rsid w:val="00B267C4"/>
    <w:rsid w:val="00B312FB"/>
    <w:rsid w:val="00B32908"/>
    <w:rsid w:val="00B34032"/>
    <w:rsid w:val="00B3651A"/>
    <w:rsid w:val="00B40860"/>
    <w:rsid w:val="00B40B7E"/>
    <w:rsid w:val="00B450D2"/>
    <w:rsid w:val="00B51E82"/>
    <w:rsid w:val="00B57243"/>
    <w:rsid w:val="00B57E84"/>
    <w:rsid w:val="00B57F9F"/>
    <w:rsid w:val="00B65412"/>
    <w:rsid w:val="00B66399"/>
    <w:rsid w:val="00B725FA"/>
    <w:rsid w:val="00B728B0"/>
    <w:rsid w:val="00B76960"/>
    <w:rsid w:val="00B77BF8"/>
    <w:rsid w:val="00B82AA5"/>
    <w:rsid w:val="00B86826"/>
    <w:rsid w:val="00B87FF0"/>
    <w:rsid w:val="00B916CC"/>
    <w:rsid w:val="00B92DC0"/>
    <w:rsid w:val="00B930DF"/>
    <w:rsid w:val="00B96919"/>
    <w:rsid w:val="00B97B30"/>
    <w:rsid w:val="00BA053D"/>
    <w:rsid w:val="00BA09FE"/>
    <w:rsid w:val="00BA3104"/>
    <w:rsid w:val="00BA511C"/>
    <w:rsid w:val="00BA5D3B"/>
    <w:rsid w:val="00BA7459"/>
    <w:rsid w:val="00BA7A00"/>
    <w:rsid w:val="00BB047F"/>
    <w:rsid w:val="00BB2940"/>
    <w:rsid w:val="00BB4C84"/>
    <w:rsid w:val="00BC1ED3"/>
    <w:rsid w:val="00BC2A40"/>
    <w:rsid w:val="00BC2BAB"/>
    <w:rsid w:val="00BC2F40"/>
    <w:rsid w:val="00BC547A"/>
    <w:rsid w:val="00BD07C6"/>
    <w:rsid w:val="00BD09BE"/>
    <w:rsid w:val="00BD1948"/>
    <w:rsid w:val="00BD56E0"/>
    <w:rsid w:val="00BD66D8"/>
    <w:rsid w:val="00BE19AC"/>
    <w:rsid w:val="00BE2750"/>
    <w:rsid w:val="00BE2A81"/>
    <w:rsid w:val="00BE2D1B"/>
    <w:rsid w:val="00BE6429"/>
    <w:rsid w:val="00BF4087"/>
    <w:rsid w:val="00BF5FF6"/>
    <w:rsid w:val="00BF672C"/>
    <w:rsid w:val="00C000BD"/>
    <w:rsid w:val="00C044BA"/>
    <w:rsid w:val="00C11446"/>
    <w:rsid w:val="00C122C8"/>
    <w:rsid w:val="00C138CC"/>
    <w:rsid w:val="00C2042F"/>
    <w:rsid w:val="00C2056E"/>
    <w:rsid w:val="00C266AF"/>
    <w:rsid w:val="00C269E8"/>
    <w:rsid w:val="00C32692"/>
    <w:rsid w:val="00C34015"/>
    <w:rsid w:val="00C43022"/>
    <w:rsid w:val="00C45BEC"/>
    <w:rsid w:val="00C47DC8"/>
    <w:rsid w:val="00C525C5"/>
    <w:rsid w:val="00C52F42"/>
    <w:rsid w:val="00C53EC0"/>
    <w:rsid w:val="00C61673"/>
    <w:rsid w:val="00C63478"/>
    <w:rsid w:val="00C64BE7"/>
    <w:rsid w:val="00C65A0A"/>
    <w:rsid w:val="00C70EAC"/>
    <w:rsid w:val="00C73BD7"/>
    <w:rsid w:val="00C77D75"/>
    <w:rsid w:val="00C90577"/>
    <w:rsid w:val="00C9132F"/>
    <w:rsid w:val="00C951E7"/>
    <w:rsid w:val="00C95551"/>
    <w:rsid w:val="00C96804"/>
    <w:rsid w:val="00CA0F25"/>
    <w:rsid w:val="00CA2256"/>
    <w:rsid w:val="00CA26E4"/>
    <w:rsid w:val="00CA4BC8"/>
    <w:rsid w:val="00CA56DF"/>
    <w:rsid w:val="00CA60B2"/>
    <w:rsid w:val="00CA642F"/>
    <w:rsid w:val="00CA65D9"/>
    <w:rsid w:val="00CA668A"/>
    <w:rsid w:val="00CA7C41"/>
    <w:rsid w:val="00CB12EF"/>
    <w:rsid w:val="00CB1361"/>
    <w:rsid w:val="00CB20C1"/>
    <w:rsid w:val="00CB2D95"/>
    <w:rsid w:val="00CB3464"/>
    <w:rsid w:val="00CC06E1"/>
    <w:rsid w:val="00CC21BF"/>
    <w:rsid w:val="00CC261B"/>
    <w:rsid w:val="00CC60CE"/>
    <w:rsid w:val="00CD15FE"/>
    <w:rsid w:val="00CD30C3"/>
    <w:rsid w:val="00CE0EE6"/>
    <w:rsid w:val="00CE145E"/>
    <w:rsid w:val="00CE151E"/>
    <w:rsid w:val="00CE372C"/>
    <w:rsid w:val="00CE621B"/>
    <w:rsid w:val="00CF1F23"/>
    <w:rsid w:val="00CF2FE0"/>
    <w:rsid w:val="00CF4BBB"/>
    <w:rsid w:val="00CF7658"/>
    <w:rsid w:val="00D00E64"/>
    <w:rsid w:val="00D01321"/>
    <w:rsid w:val="00D01ACD"/>
    <w:rsid w:val="00D01C8A"/>
    <w:rsid w:val="00D059E1"/>
    <w:rsid w:val="00D07D76"/>
    <w:rsid w:val="00D101FA"/>
    <w:rsid w:val="00D10734"/>
    <w:rsid w:val="00D12834"/>
    <w:rsid w:val="00D13401"/>
    <w:rsid w:val="00D13AE3"/>
    <w:rsid w:val="00D15D04"/>
    <w:rsid w:val="00D16583"/>
    <w:rsid w:val="00D17069"/>
    <w:rsid w:val="00D17DA2"/>
    <w:rsid w:val="00D21B0E"/>
    <w:rsid w:val="00D243CF"/>
    <w:rsid w:val="00D25407"/>
    <w:rsid w:val="00D2611D"/>
    <w:rsid w:val="00D31630"/>
    <w:rsid w:val="00D32D9A"/>
    <w:rsid w:val="00D37E70"/>
    <w:rsid w:val="00D439B6"/>
    <w:rsid w:val="00D47F51"/>
    <w:rsid w:val="00D508BD"/>
    <w:rsid w:val="00D532CF"/>
    <w:rsid w:val="00D55D1B"/>
    <w:rsid w:val="00D563B6"/>
    <w:rsid w:val="00D563DE"/>
    <w:rsid w:val="00D577EC"/>
    <w:rsid w:val="00D61257"/>
    <w:rsid w:val="00D631B7"/>
    <w:rsid w:val="00D63394"/>
    <w:rsid w:val="00D64133"/>
    <w:rsid w:val="00D651B2"/>
    <w:rsid w:val="00D67668"/>
    <w:rsid w:val="00D67801"/>
    <w:rsid w:val="00D76653"/>
    <w:rsid w:val="00D806D0"/>
    <w:rsid w:val="00D81EA0"/>
    <w:rsid w:val="00D8493F"/>
    <w:rsid w:val="00D873A6"/>
    <w:rsid w:val="00D961B4"/>
    <w:rsid w:val="00DA1371"/>
    <w:rsid w:val="00DA5124"/>
    <w:rsid w:val="00DA5814"/>
    <w:rsid w:val="00DA6EA4"/>
    <w:rsid w:val="00DB0DD2"/>
    <w:rsid w:val="00DB368E"/>
    <w:rsid w:val="00DC025E"/>
    <w:rsid w:val="00DC1BFF"/>
    <w:rsid w:val="00DC2886"/>
    <w:rsid w:val="00DC62A8"/>
    <w:rsid w:val="00DC6FC1"/>
    <w:rsid w:val="00DD5624"/>
    <w:rsid w:val="00DD7159"/>
    <w:rsid w:val="00DE585E"/>
    <w:rsid w:val="00DE5E63"/>
    <w:rsid w:val="00DE6D20"/>
    <w:rsid w:val="00DF2E3D"/>
    <w:rsid w:val="00DF5412"/>
    <w:rsid w:val="00DF57C2"/>
    <w:rsid w:val="00DF60F6"/>
    <w:rsid w:val="00DF63C3"/>
    <w:rsid w:val="00DF7D88"/>
    <w:rsid w:val="00E00A06"/>
    <w:rsid w:val="00E01222"/>
    <w:rsid w:val="00E0491D"/>
    <w:rsid w:val="00E05304"/>
    <w:rsid w:val="00E10B5E"/>
    <w:rsid w:val="00E20818"/>
    <w:rsid w:val="00E2272B"/>
    <w:rsid w:val="00E23643"/>
    <w:rsid w:val="00E258FD"/>
    <w:rsid w:val="00E31ABE"/>
    <w:rsid w:val="00E451E1"/>
    <w:rsid w:val="00E45E86"/>
    <w:rsid w:val="00E502FD"/>
    <w:rsid w:val="00E521F1"/>
    <w:rsid w:val="00E55F71"/>
    <w:rsid w:val="00E601C1"/>
    <w:rsid w:val="00E64B75"/>
    <w:rsid w:val="00E65D4C"/>
    <w:rsid w:val="00E66ED9"/>
    <w:rsid w:val="00E751F4"/>
    <w:rsid w:val="00E76B0B"/>
    <w:rsid w:val="00E7766B"/>
    <w:rsid w:val="00E816C2"/>
    <w:rsid w:val="00E81B62"/>
    <w:rsid w:val="00E83F80"/>
    <w:rsid w:val="00E93CE7"/>
    <w:rsid w:val="00E94221"/>
    <w:rsid w:val="00EA17F8"/>
    <w:rsid w:val="00EA40BE"/>
    <w:rsid w:val="00EA5EF0"/>
    <w:rsid w:val="00EB1122"/>
    <w:rsid w:val="00EB38D5"/>
    <w:rsid w:val="00EB412B"/>
    <w:rsid w:val="00EB4E4C"/>
    <w:rsid w:val="00EB5E30"/>
    <w:rsid w:val="00EC00B9"/>
    <w:rsid w:val="00EC658A"/>
    <w:rsid w:val="00EC7A72"/>
    <w:rsid w:val="00ED084F"/>
    <w:rsid w:val="00ED63BC"/>
    <w:rsid w:val="00EE21FA"/>
    <w:rsid w:val="00EE2F64"/>
    <w:rsid w:val="00EE31FD"/>
    <w:rsid w:val="00EE4B79"/>
    <w:rsid w:val="00EE52E5"/>
    <w:rsid w:val="00EE627A"/>
    <w:rsid w:val="00EF0F7D"/>
    <w:rsid w:val="00EF449C"/>
    <w:rsid w:val="00EF5596"/>
    <w:rsid w:val="00F002DD"/>
    <w:rsid w:val="00F00F24"/>
    <w:rsid w:val="00F06F19"/>
    <w:rsid w:val="00F123F0"/>
    <w:rsid w:val="00F12701"/>
    <w:rsid w:val="00F20F70"/>
    <w:rsid w:val="00F22BAA"/>
    <w:rsid w:val="00F30206"/>
    <w:rsid w:val="00F31ECA"/>
    <w:rsid w:val="00F32543"/>
    <w:rsid w:val="00F33FD1"/>
    <w:rsid w:val="00F41E62"/>
    <w:rsid w:val="00F42E7B"/>
    <w:rsid w:val="00F436D0"/>
    <w:rsid w:val="00F47136"/>
    <w:rsid w:val="00F47981"/>
    <w:rsid w:val="00F51F4E"/>
    <w:rsid w:val="00F55ADA"/>
    <w:rsid w:val="00F56E53"/>
    <w:rsid w:val="00F60387"/>
    <w:rsid w:val="00F60881"/>
    <w:rsid w:val="00F61499"/>
    <w:rsid w:val="00F62430"/>
    <w:rsid w:val="00F63720"/>
    <w:rsid w:val="00F64BE5"/>
    <w:rsid w:val="00F669EF"/>
    <w:rsid w:val="00F67CB5"/>
    <w:rsid w:val="00F74022"/>
    <w:rsid w:val="00F74C5D"/>
    <w:rsid w:val="00F75AA7"/>
    <w:rsid w:val="00F77264"/>
    <w:rsid w:val="00F77F0C"/>
    <w:rsid w:val="00F86C0A"/>
    <w:rsid w:val="00F93666"/>
    <w:rsid w:val="00FA35E5"/>
    <w:rsid w:val="00FA3E19"/>
    <w:rsid w:val="00FA7DA0"/>
    <w:rsid w:val="00FB1B17"/>
    <w:rsid w:val="00FB302D"/>
    <w:rsid w:val="00FB74B6"/>
    <w:rsid w:val="00FC279B"/>
    <w:rsid w:val="00FC2C0A"/>
    <w:rsid w:val="00FC6F22"/>
    <w:rsid w:val="00FC7267"/>
    <w:rsid w:val="00FD3F87"/>
    <w:rsid w:val="00FD6CAA"/>
    <w:rsid w:val="00FD75F5"/>
    <w:rsid w:val="00FE04EA"/>
    <w:rsid w:val="00FE1F5B"/>
    <w:rsid w:val="00FE3E9B"/>
    <w:rsid w:val="00FF0D88"/>
    <w:rsid w:val="00FF10A2"/>
    <w:rsid w:val="00FF3461"/>
    <w:rsid w:val="00FF3C36"/>
    <w:rsid w:val="00FF4D59"/>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link w:val="Heading1Char"/>
    <w:uiPriority w:val="9"/>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link w:val="Heading3Char"/>
    <w:qFormat/>
    <w:rsid w:val="00DE5E63"/>
    <w:pPr>
      <w:keepNext/>
      <w:outlineLvl w:val="2"/>
    </w:pPr>
    <w:rPr>
      <w:b/>
      <w:u w:val="single"/>
    </w:rPr>
  </w:style>
  <w:style w:type="paragraph" w:styleId="Heading4">
    <w:name w:val="heading 4"/>
    <w:basedOn w:val="Normal"/>
    <w:link w:val="Heading4Char"/>
    <w:uiPriority w:val="9"/>
    <w:qFormat/>
    <w:rsid w:val="00C000BD"/>
    <w:pPr>
      <w:suppressAutoHyphens w:val="0"/>
      <w:spacing w:before="100" w:beforeAutospacing="1" w:after="100" w:afterAutospacing="1"/>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link w:val="BodyTextIndent2Char"/>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link w:val="TitleChar"/>
    <w:qFormat/>
    <w:rsid w:val="00DE5E63"/>
    <w:pPr>
      <w:tabs>
        <w:tab w:val="left" w:pos="0"/>
        <w:tab w:val="left" w:pos="1440"/>
        <w:tab w:val="left" w:pos="5040"/>
      </w:tabs>
      <w:jc w:val="center"/>
    </w:pPr>
    <w:rPr>
      <w:i/>
      <w:snapToGrid w:val="0"/>
      <w:spacing w:val="-3"/>
    </w:rPr>
  </w:style>
  <w:style w:type="paragraph" w:styleId="BodyTextIndent">
    <w:name w:val="Body Text Indent"/>
    <w:basedOn w:val="Normal"/>
    <w:link w:val="BodyTextIndentChar"/>
    <w:rsid w:val="00DE5E63"/>
    <w:pPr>
      <w:ind w:firstLine="720"/>
    </w:pPr>
    <w:rPr>
      <w:snapToGrid w:val="0"/>
    </w:rPr>
  </w:style>
  <w:style w:type="paragraph" w:styleId="BodyTextIndent3">
    <w:name w:val="Body Text Indent 3"/>
    <w:basedOn w:val="Normal"/>
    <w:link w:val="BodyTextIndent3Char"/>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link w:val="BodyText2Char"/>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link w:val="SubtitleChar"/>
    <w:qFormat/>
    <w:rsid w:val="00DE5E63"/>
    <w:rPr>
      <w:b/>
      <w:bCs/>
      <w:u w:val="single"/>
    </w:rPr>
  </w:style>
  <w:style w:type="paragraph" w:styleId="BodyText3">
    <w:name w:val="Body Text 3"/>
    <w:basedOn w:val="Normal"/>
    <w:link w:val="BodyText3Char"/>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 w:type="character" w:customStyle="1" w:styleId="Heading1Char">
    <w:name w:val="Heading 1 Char"/>
    <w:basedOn w:val="DefaultParagraphFont"/>
    <w:link w:val="Heading1"/>
    <w:uiPriority w:val="9"/>
    <w:rsid w:val="003856A1"/>
    <w:rPr>
      <w:b/>
      <w:sz w:val="26"/>
    </w:rPr>
  </w:style>
  <w:style w:type="character" w:customStyle="1" w:styleId="Heading4Char">
    <w:name w:val="Heading 4 Char"/>
    <w:basedOn w:val="DefaultParagraphFont"/>
    <w:link w:val="Heading4"/>
    <w:uiPriority w:val="9"/>
    <w:rsid w:val="00C000BD"/>
    <w:rPr>
      <w:b/>
      <w:bCs/>
      <w:sz w:val="24"/>
      <w:szCs w:val="24"/>
    </w:rPr>
  </w:style>
  <w:style w:type="character" w:customStyle="1" w:styleId="Heading3Char">
    <w:name w:val="Heading 3 Char"/>
    <w:basedOn w:val="DefaultParagraphFont"/>
    <w:link w:val="Heading3"/>
    <w:rsid w:val="00C000BD"/>
    <w:rPr>
      <w:b/>
      <w:sz w:val="26"/>
      <w:u w:val="single"/>
    </w:rPr>
  </w:style>
  <w:style w:type="character" w:customStyle="1" w:styleId="BodyTextIndent2Char">
    <w:name w:val="Body Text Indent 2 Char"/>
    <w:basedOn w:val="DefaultParagraphFont"/>
    <w:link w:val="BodyTextIndent2"/>
    <w:rsid w:val="00C000BD"/>
    <w:rPr>
      <w:snapToGrid w:val="0"/>
      <w:sz w:val="26"/>
    </w:rPr>
  </w:style>
  <w:style w:type="character" w:customStyle="1" w:styleId="TitleChar">
    <w:name w:val="Title Char"/>
    <w:basedOn w:val="DefaultParagraphFont"/>
    <w:link w:val="Title"/>
    <w:rsid w:val="00C000BD"/>
    <w:rPr>
      <w:i/>
      <w:snapToGrid w:val="0"/>
      <w:spacing w:val="-3"/>
      <w:sz w:val="26"/>
    </w:rPr>
  </w:style>
  <w:style w:type="character" w:customStyle="1" w:styleId="BodyTextIndentChar">
    <w:name w:val="Body Text Indent Char"/>
    <w:basedOn w:val="DefaultParagraphFont"/>
    <w:link w:val="BodyTextIndent"/>
    <w:rsid w:val="00C000BD"/>
    <w:rPr>
      <w:snapToGrid w:val="0"/>
      <w:sz w:val="26"/>
    </w:rPr>
  </w:style>
  <w:style w:type="character" w:customStyle="1" w:styleId="BodyTextIndent3Char">
    <w:name w:val="Body Text Indent 3 Char"/>
    <w:basedOn w:val="DefaultParagraphFont"/>
    <w:link w:val="BodyTextIndent3"/>
    <w:rsid w:val="00C000BD"/>
    <w:rPr>
      <w:sz w:val="26"/>
    </w:rPr>
  </w:style>
  <w:style w:type="character" w:customStyle="1" w:styleId="BodyText2Char">
    <w:name w:val="Body Text 2 Char"/>
    <w:basedOn w:val="DefaultParagraphFont"/>
    <w:link w:val="BodyText2"/>
    <w:rsid w:val="00C000BD"/>
    <w:rPr>
      <w:sz w:val="26"/>
    </w:rPr>
  </w:style>
  <w:style w:type="character" w:customStyle="1" w:styleId="SubtitleChar">
    <w:name w:val="Subtitle Char"/>
    <w:basedOn w:val="DefaultParagraphFont"/>
    <w:link w:val="Subtitle"/>
    <w:rsid w:val="00C000BD"/>
    <w:rPr>
      <w:b/>
      <w:bCs/>
      <w:sz w:val="26"/>
      <w:u w:val="single"/>
    </w:rPr>
  </w:style>
  <w:style w:type="character" w:customStyle="1" w:styleId="BodyText3Char">
    <w:name w:val="Body Text 3 Char"/>
    <w:basedOn w:val="DefaultParagraphFont"/>
    <w:link w:val="BodyText3"/>
    <w:rsid w:val="00C000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link w:val="Heading1Char"/>
    <w:uiPriority w:val="9"/>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link w:val="Heading3Char"/>
    <w:qFormat/>
    <w:rsid w:val="00DE5E63"/>
    <w:pPr>
      <w:keepNext/>
      <w:outlineLvl w:val="2"/>
    </w:pPr>
    <w:rPr>
      <w:b/>
      <w:u w:val="single"/>
    </w:rPr>
  </w:style>
  <w:style w:type="paragraph" w:styleId="Heading4">
    <w:name w:val="heading 4"/>
    <w:basedOn w:val="Normal"/>
    <w:link w:val="Heading4Char"/>
    <w:uiPriority w:val="9"/>
    <w:qFormat/>
    <w:rsid w:val="00C000BD"/>
    <w:pPr>
      <w:suppressAutoHyphens w:val="0"/>
      <w:spacing w:before="100" w:beforeAutospacing="1" w:after="100" w:afterAutospacing="1"/>
      <w:jc w:val="lef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link w:val="BodyTextIndent2Char"/>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link w:val="TitleChar"/>
    <w:qFormat/>
    <w:rsid w:val="00DE5E63"/>
    <w:pPr>
      <w:tabs>
        <w:tab w:val="left" w:pos="0"/>
        <w:tab w:val="left" w:pos="1440"/>
        <w:tab w:val="left" w:pos="5040"/>
      </w:tabs>
      <w:jc w:val="center"/>
    </w:pPr>
    <w:rPr>
      <w:i/>
      <w:snapToGrid w:val="0"/>
      <w:spacing w:val="-3"/>
    </w:rPr>
  </w:style>
  <w:style w:type="paragraph" w:styleId="BodyTextIndent">
    <w:name w:val="Body Text Indent"/>
    <w:basedOn w:val="Normal"/>
    <w:link w:val="BodyTextIndentChar"/>
    <w:rsid w:val="00DE5E63"/>
    <w:pPr>
      <w:ind w:firstLine="720"/>
    </w:pPr>
    <w:rPr>
      <w:snapToGrid w:val="0"/>
    </w:rPr>
  </w:style>
  <w:style w:type="paragraph" w:styleId="BodyTextIndent3">
    <w:name w:val="Body Text Indent 3"/>
    <w:basedOn w:val="Normal"/>
    <w:link w:val="BodyTextIndent3Char"/>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link w:val="BodyText2Char"/>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link w:val="SubtitleChar"/>
    <w:qFormat/>
    <w:rsid w:val="00DE5E63"/>
    <w:rPr>
      <w:b/>
      <w:bCs/>
      <w:u w:val="single"/>
    </w:rPr>
  </w:style>
  <w:style w:type="paragraph" w:styleId="BodyText3">
    <w:name w:val="Body Text 3"/>
    <w:basedOn w:val="Normal"/>
    <w:link w:val="BodyText3Char"/>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 w:type="character" w:customStyle="1" w:styleId="Heading1Char">
    <w:name w:val="Heading 1 Char"/>
    <w:basedOn w:val="DefaultParagraphFont"/>
    <w:link w:val="Heading1"/>
    <w:uiPriority w:val="9"/>
    <w:rsid w:val="003856A1"/>
    <w:rPr>
      <w:b/>
      <w:sz w:val="26"/>
    </w:rPr>
  </w:style>
  <w:style w:type="character" w:customStyle="1" w:styleId="Heading4Char">
    <w:name w:val="Heading 4 Char"/>
    <w:basedOn w:val="DefaultParagraphFont"/>
    <w:link w:val="Heading4"/>
    <w:uiPriority w:val="9"/>
    <w:rsid w:val="00C000BD"/>
    <w:rPr>
      <w:b/>
      <w:bCs/>
      <w:sz w:val="24"/>
      <w:szCs w:val="24"/>
    </w:rPr>
  </w:style>
  <w:style w:type="character" w:customStyle="1" w:styleId="Heading3Char">
    <w:name w:val="Heading 3 Char"/>
    <w:basedOn w:val="DefaultParagraphFont"/>
    <w:link w:val="Heading3"/>
    <w:rsid w:val="00C000BD"/>
    <w:rPr>
      <w:b/>
      <w:sz w:val="26"/>
      <w:u w:val="single"/>
    </w:rPr>
  </w:style>
  <w:style w:type="character" w:customStyle="1" w:styleId="BodyTextIndent2Char">
    <w:name w:val="Body Text Indent 2 Char"/>
    <w:basedOn w:val="DefaultParagraphFont"/>
    <w:link w:val="BodyTextIndent2"/>
    <w:rsid w:val="00C000BD"/>
    <w:rPr>
      <w:snapToGrid w:val="0"/>
      <w:sz w:val="26"/>
    </w:rPr>
  </w:style>
  <w:style w:type="character" w:customStyle="1" w:styleId="TitleChar">
    <w:name w:val="Title Char"/>
    <w:basedOn w:val="DefaultParagraphFont"/>
    <w:link w:val="Title"/>
    <w:rsid w:val="00C000BD"/>
    <w:rPr>
      <w:i/>
      <w:snapToGrid w:val="0"/>
      <w:spacing w:val="-3"/>
      <w:sz w:val="26"/>
    </w:rPr>
  </w:style>
  <w:style w:type="character" w:customStyle="1" w:styleId="BodyTextIndentChar">
    <w:name w:val="Body Text Indent Char"/>
    <w:basedOn w:val="DefaultParagraphFont"/>
    <w:link w:val="BodyTextIndent"/>
    <w:rsid w:val="00C000BD"/>
    <w:rPr>
      <w:snapToGrid w:val="0"/>
      <w:sz w:val="26"/>
    </w:rPr>
  </w:style>
  <w:style w:type="character" w:customStyle="1" w:styleId="BodyTextIndent3Char">
    <w:name w:val="Body Text Indent 3 Char"/>
    <w:basedOn w:val="DefaultParagraphFont"/>
    <w:link w:val="BodyTextIndent3"/>
    <w:rsid w:val="00C000BD"/>
    <w:rPr>
      <w:sz w:val="26"/>
    </w:rPr>
  </w:style>
  <w:style w:type="character" w:customStyle="1" w:styleId="BodyText2Char">
    <w:name w:val="Body Text 2 Char"/>
    <w:basedOn w:val="DefaultParagraphFont"/>
    <w:link w:val="BodyText2"/>
    <w:rsid w:val="00C000BD"/>
    <w:rPr>
      <w:sz w:val="26"/>
    </w:rPr>
  </w:style>
  <w:style w:type="character" w:customStyle="1" w:styleId="SubtitleChar">
    <w:name w:val="Subtitle Char"/>
    <w:basedOn w:val="DefaultParagraphFont"/>
    <w:link w:val="Subtitle"/>
    <w:rsid w:val="00C000BD"/>
    <w:rPr>
      <w:b/>
      <w:bCs/>
      <w:sz w:val="26"/>
      <w:u w:val="single"/>
    </w:rPr>
  </w:style>
  <w:style w:type="character" w:customStyle="1" w:styleId="BodyText3Char">
    <w:name w:val="Body Text 3 Char"/>
    <w:basedOn w:val="DefaultParagraphFont"/>
    <w:link w:val="BodyText3"/>
    <w:rsid w:val="00C000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549">
      <w:bodyDiv w:val="1"/>
      <w:marLeft w:val="0"/>
      <w:marRight w:val="0"/>
      <w:marTop w:val="0"/>
      <w:marBottom w:val="0"/>
      <w:divBdr>
        <w:top w:val="none" w:sz="0" w:space="0" w:color="auto"/>
        <w:left w:val="none" w:sz="0" w:space="0" w:color="auto"/>
        <w:bottom w:val="none" w:sz="0" w:space="0" w:color="auto"/>
        <w:right w:val="none" w:sz="0" w:space="0" w:color="auto"/>
      </w:divBdr>
    </w:div>
    <w:div w:id="156116489">
      <w:bodyDiv w:val="1"/>
      <w:marLeft w:val="0"/>
      <w:marRight w:val="0"/>
      <w:marTop w:val="0"/>
      <w:marBottom w:val="0"/>
      <w:divBdr>
        <w:top w:val="none" w:sz="0" w:space="0" w:color="auto"/>
        <w:left w:val="none" w:sz="0" w:space="0" w:color="auto"/>
        <w:bottom w:val="none" w:sz="0" w:space="0" w:color="auto"/>
        <w:right w:val="none" w:sz="0" w:space="0" w:color="auto"/>
      </w:divBdr>
    </w:div>
    <w:div w:id="202330930">
      <w:bodyDiv w:val="1"/>
      <w:marLeft w:val="0"/>
      <w:marRight w:val="0"/>
      <w:marTop w:val="0"/>
      <w:marBottom w:val="0"/>
      <w:divBdr>
        <w:top w:val="none" w:sz="0" w:space="0" w:color="auto"/>
        <w:left w:val="none" w:sz="0" w:space="0" w:color="auto"/>
        <w:bottom w:val="none" w:sz="0" w:space="0" w:color="auto"/>
        <w:right w:val="none" w:sz="0" w:space="0" w:color="auto"/>
      </w:divBdr>
    </w:div>
    <w:div w:id="202789568">
      <w:bodyDiv w:val="1"/>
      <w:marLeft w:val="0"/>
      <w:marRight w:val="0"/>
      <w:marTop w:val="0"/>
      <w:marBottom w:val="0"/>
      <w:divBdr>
        <w:top w:val="none" w:sz="0" w:space="0" w:color="auto"/>
        <w:left w:val="none" w:sz="0" w:space="0" w:color="auto"/>
        <w:bottom w:val="none" w:sz="0" w:space="0" w:color="auto"/>
        <w:right w:val="none" w:sz="0" w:space="0" w:color="auto"/>
      </w:divBdr>
    </w:div>
    <w:div w:id="215049588">
      <w:bodyDiv w:val="1"/>
      <w:marLeft w:val="0"/>
      <w:marRight w:val="0"/>
      <w:marTop w:val="0"/>
      <w:marBottom w:val="0"/>
      <w:divBdr>
        <w:top w:val="none" w:sz="0" w:space="0" w:color="auto"/>
        <w:left w:val="none" w:sz="0" w:space="0" w:color="auto"/>
        <w:bottom w:val="none" w:sz="0" w:space="0" w:color="auto"/>
        <w:right w:val="none" w:sz="0" w:space="0" w:color="auto"/>
      </w:divBdr>
    </w:div>
    <w:div w:id="295717492">
      <w:bodyDiv w:val="1"/>
      <w:marLeft w:val="30"/>
      <w:marRight w:val="30"/>
      <w:marTop w:val="30"/>
      <w:marBottom w:val="30"/>
      <w:divBdr>
        <w:top w:val="none" w:sz="0" w:space="0" w:color="auto"/>
        <w:left w:val="none" w:sz="0" w:space="0" w:color="auto"/>
        <w:bottom w:val="none" w:sz="0" w:space="0" w:color="auto"/>
        <w:right w:val="none" w:sz="0" w:space="0" w:color="auto"/>
      </w:divBdr>
      <w:divsChild>
        <w:div w:id="1545942290">
          <w:marLeft w:val="0"/>
          <w:marRight w:val="0"/>
          <w:marTop w:val="0"/>
          <w:marBottom w:val="0"/>
          <w:divBdr>
            <w:top w:val="none" w:sz="0" w:space="0" w:color="auto"/>
            <w:left w:val="none" w:sz="0" w:space="0" w:color="auto"/>
            <w:bottom w:val="none" w:sz="0" w:space="0" w:color="auto"/>
            <w:right w:val="none" w:sz="0" w:space="0" w:color="auto"/>
          </w:divBdr>
          <w:divsChild>
            <w:div w:id="1289968739">
              <w:marLeft w:val="45"/>
              <w:marRight w:val="45"/>
              <w:marTop w:val="45"/>
              <w:marBottom w:val="45"/>
              <w:divBdr>
                <w:top w:val="none" w:sz="0" w:space="0" w:color="auto"/>
                <w:left w:val="none" w:sz="0" w:space="0" w:color="auto"/>
                <w:bottom w:val="none" w:sz="0" w:space="0" w:color="auto"/>
                <w:right w:val="none" w:sz="0" w:space="0" w:color="auto"/>
              </w:divBdr>
              <w:divsChild>
                <w:div w:id="1083407944">
                  <w:marLeft w:val="0"/>
                  <w:marRight w:val="0"/>
                  <w:marTop w:val="0"/>
                  <w:marBottom w:val="0"/>
                  <w:divBdr>
                    <w:top w:val="none" w:sz="0" w:space="0" w:color="auto"/>
                    <w:left w:val="none" w:sz="0" w:space="0" w:color="auto"/>
                    <w:bottom w:val="none" w:sz="0" w:space="0" w:color="auto"/>
                    <w:right w:val="none" w:sz="0" w:space="0" w:color="auto"/>
                  </w:divBdr>
                  <w:divsChild>
                    <w:div w:id="1251354200">
                      <w:marLeft w:val="0"/>
                      <w:marRight w:val="0"/>
                      <w:marTop w:val="0"/>
                      <w:marBottom w:val="0"/>
                      <w:divBdr>
                        <w:top w:val="none" w:sz="0" w:space="0" w:color="auto"/>
                        <w:left w:val="none" w:sz="0" w:space="0" w:color="auto"/>
                        <w:bottom w:val="none" w:sz="0" w:space="0" w:color="auto"/>
                        <w:right w:val="none" w:sz="0" w:space="0" w:color="auto"/>
                      </w:divBdr>
                    </w:div>
                    <w:div w:id="592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1023">
      <w:bodyDiv w:val="1"/>
      <w:marLeft w:val="0"/>
      <w:marRight w:val="0"/>
      <w:marTop w:val="0"/>
      <w:marBottom w:val="0"/>
      <w:divBdr>
        <w:top w:val="none" w:sz="0" w:space="0" w:color="auto"/>
        <w:left w:val="none" w:sz="0" w:space="0" w:color="auto"/>
        <w:bottom w:val="none" w:sz="0" w:space="0" w:color="auto"/>
        <w:right w:val="none" w:sz="0" w:space="0" w:color="auto"/>
      </w:divBdr>
    </w:div>
    <w:div w:id="458455231">
      <w:bodyDiv w:val="1"/>
      <w:marLeft w:val="0"/>
      <w:marRight w:val="0"/>
      <w:marTop w:val="0"/>
      <w:marBottom w:val="0"/>
      <w:divBdr>
        <w:top w:val="none" w:sz="0" w:space="0" w:color="auto"/>
        <w:left w:val="none" w:sz="0" w:space="0" w:color="auto"/>
        <w:bottom w:val="none" w:sz="0" w:space="0" w:color="auto"/>
        <w:right w:val="none" w:sz="0" w:space="0" w:color="auto"/>
      </w:divBdr>
    </w:div>
    <w:div w:id="489642364">
      <w:bodyDiv w:val="1"/>
      <w:marLeft w:val="0"/>
      <w:marRight w:val="0"/>
      <w:marTop w:val="0"/>
      <w:marBottom w:val="0"/>
      <w:divBdr>
        <w:top w:val="none" w:sz="0" w:space="0" w:color="auto"/>
        <w:left w:val="none" w:sz="0" w:space="0" w:color="auto"/>
        <w:bottom w:val="none" w:sz="0" w:space="0" w:color="auto"/>
        <w:right w:val="none" w:sz="0" w:space="0" w:color="auto"/>
      </w:divBdr>
    </w:div>
    <w:div w:id="502864888">
      <w:bodyDiv w:val="1"/>
      <w:marLeft w:val="0"/>
      <w:marRight w:val="0"/>
      <w:marTop w:val="0"/>
      <w:marBottom w:val="0"/>
      <w:divBdr>
        <w:top w:val="none" w:sz="0" w:space="0" w:color="auto"/>
        <w:left w:val="none" w:sz="0" w:space="0" w:color="auto"/>
        <w:bottom w:val="none" w:sz="0" w:space="0" w:color="auto"/>
        <w:right w:val="none" w:sz="0" w:space="0" w:color="auto"/>
      </w:divBdr>
      <w:divsChild>
        <w:div w:id="2130077163">
          <w:marLeft w:val="0"/>
          <w:marRight w:val="0"/>
          <w:marTop w:val="0"/>
          <w:marBottom w:val="0"/>
          <w:divBdr>
            <w:top w:val="none" w:sz="0" w:space="0" w:color="auto"/>
            <w:left w:val="single" w:sz="6" w:space="0" w:color="BBBBBB"/>
            <w:bottom w:val="single" w:sz="6" w:space="0" w:color="BBBBBB"/>
            <w:right w:val="single" w:sz="6" w:space="0" w:color="BBBBBB"/>
          </w:divBdr>
          <w:divsChild>
            <w:div w:id="1215045948">
              <w:marLeft w:val="0"/>
              <w:marRight w:val="0"/>
              <w:marTop w:val="0"/>
              <w:marBottom w:val="0"/>
              <w:divBdr>
                <w:top w:val="none" w:sz="0" w:space="0" w:color="auto"/>
                <w:left w:val="none" w:sz="0" w:space="0" w:color="auto"/>
                <w:bottom w:val="none" w:sz="0" w:space="0" w:color="auto"/>
                <w:right w:val="none" w:sz="0" w:space="0" w:color="auto"/>
              </w:divBdr>
              <w:divsChild>
                <w:div w:id="976640535">
                  <w:marLeft w:val="0"/>
                  <w:marRight w:val="0"/>
                  <w:marTop w:val="0"/>
                  <w:marBottom w:val="0"/>
                  <w:divBdr>
                    <w:top w:val="none" w:sz="0" w:space="0" w:color="auto"/>
                    <w:left w:val="none" w:sz="0" w:space="0" w:color="auto"/>
                    <w:bottom w:val="none" w:sz="0" w:space="0" w:color="auto"/>
                    <w:right w:val="none" w:sz="0" w:space="0" w:color="auto"/>
                  </w:divBdr>
                  <w:divsChild>
                    <w:div w:id="1081760816">
                      <w:marLeft w:val="0"/>
                      <w:marRight w:val="0"/>
                      <w:marTop w:val="0"/>
                      <w:marBottom w:val="0"/>
                      <w:divBdr>
                        <w:top w:val="none" w:sz="0" w:space="0" w:color="auto"/>
                        <w:left w:val="none" w:sz="0" w:space="0" w:color="auto"/>
                        <w:bottom w:val="none" w:sz="0" w:space="0" w:color="auto"/>
                        <w:right w:val="none" w:sz="0" w:space="0" w:color="auto"/>
                      </w:divBdr>
                      <w:divsChild>
                        <w:div w:id="1780701">
                          <w:marLeft w:val="0"/>
                          <w:marRight w:val="0"/>
                          <w:marTop w:val="0"/>
                          <w:marBottom w:val="0"/>
                          <w:divBdr>
                            <w:top w:val="none" w:sz="0" w:space="0" w:color="auto"/>
                            <w:left w:val="none" w:sz="0" w:space="0" w:color="auto"/>
                            <w:bottom w:val="none" w:sz="0" w:space="0" w:color="auto"/>
                            <w:right w:val="none" w:sz="0" w:space="0" w:color="auto"/>
                          </w:divBdr>
                          <w:divsChild>
                            <w:div w:id="545718582">
                              <w:marLeft w:val="0"/>
                              <w:marRight w:val="0"/>
                              <w:marTop w:val="0"/>
                              <w:marBottom w:val="0"/>
                              <w:divBdr>
                                <w:top w:val="none" w:sz="0" w:space="0" w:color="auto"/>
                                <w:left w:val="none" w:sz="0" w:space="0" w:color="auto"/>
                                <w:bottom w:val="none" w:sz="0" w:space="0" w:color="auto"/>
                                <w:right w:val="none" w:sz="0" w:space="0" w:color="auto"/>
                              </w:divBdr>
                              <w:divsChild>
                                <w:div w:id="161773857">
                                  <w:marLeft w:val="0"/>
                                  <w:marRight w:val="0"/>
                                  <w:marTop w:val="0"/>
                                  <w:marBottom w:val="0"/>
                                  <w:divBdr>
                                    <w:top w:val="none" w:sz="0" w:space="0" w:color="auto"/>
                                    <w:left w:val="none" w:sz="0" w:space="0" w:color="auto"/>
                                    <w:bottom w:val="none" w:sz="0" w:space="0" w:color="auto"/>
                                    <w:right w:val="none" w:sz="0" w:space="0" w:color="auto"/>
                                  </w:divBdr>
                                  <w:divsChild>
                                    <w:div w:id="157893517">
                                      <w:marLeft w:val="0"/>
                                      <w:marRight w:val="0"/>
                                      <w:marTop w:val="0"/>
                                      <w:marBottom w:val="0"/>
                                      <w:divBdr>
                                        <w:top w:val="none" w:sz="0" w:space="0" w:color="auto"/>
                                        <w:left w:val="none" w:sz="0" w:space="0" w:color="auto"/>
                                        <w:bottom w:val="none" w:sz="0" w:space="0" w:color="auto"/>
                                        <w:right w:val="none" w:sz="0" w:space="0" w:color="auto"/>
                                      </w:divBdr>
                                      <w:divsChild>
                                        <w:div w:id="1474634374">
                                          <w:marLeft w:val="1200"/>
                                          <w:marRight w:val="1200"/>
                                          <w:marTop w:val="0"/>
                                          <w:marBottom w:val="0"/>
                                          <w:divBdr>
                                            <w:top w:val="none" w:sz="0" w:space="0" w:color="auto"/>
                                            <w:left w:val="none" w:sz="0" w:space="0" w:color="auto"/>
                                            <w:bottom w:val="none" w:sz="0" w:space="0" w:color="auto"/>
                                            <w:right w:val="none" w:sz="0" w:space="0" w:color="auto"/>
                                          </w:divBdr>
                                          <w:divsChild>
                                            <w:div w:id="1312712763">
                                              <w:marLeft w:val="0"/>
                                              <w:marRight w:val="0"/>
                                              <w:marTop w:val="0"/>
                                              <w:marBottom w:val="0"/>
                                              <w:divBdr>
                                                <w:top w:val="none" w:sz="0" w:space="0" w:color="auto"/>
                                                <w:left w:val="none" w:sz="0" w:space="0" w:color="auto"/>
                                                <w:bottom w:val="none" w:sz="0" w:space="0" w:color="auto"/>
                                                <w:right w:val="none" w:sz="0" w:space="0" w:color="auto"/>
                                              </w:divBdr>
                                              <w:divsChild>
                                                <w:div w:id="1700818570">
                                                  <w:marLeft w:val="0"/>
                                                  <w:marRight w:val="0"/>
                                                  <w:marTop w:val="0"/>
                                                  <w:marBottom w:val="0"/>
                                                  <w:divBdr>
                                                    <w:top w:val="none" w:sz="0" w:space="0" w:color="auto"/>
                                                    <w:left w:val="none" w:sz="0" w:space="0" w:color="auto"/>
                                                    <w:bottom w:val="none" w:sz="0" w:space="0" w:color="auto"/>
                                                    <w:right w:val="none" w:sz="0" w:space="0" w:color="auto"/>
                                                  </w:divBdr>
                                                  <w:divsChild>
                                                    <w:div w:id="714543751">
                                                      <w:marLeft w:val="0"/>
                                                      <w:marRight w:val="0"/>
                                                      <w:marTop w:val="0"/>
                                                      <w:marBottom w:val="0"/>
                                                      <w:divBdr>
                                                        <w:top w:val="none" w:sz="0" w:space="0" w:color="auto"/>
                                                        <w:left w:val="none" w:sz="0" w:space="0" w:color="auto"/>
                                                        <w:bottom w:val="none" w:sz="0" w:space="0" w:color="auto"/>
                                                        <w:right w:val="none" w:sz="0" w:space="0" w:color="auto"/>
                                                      </w:divBdr>
                                                      <w:divsChild>
                                                        <w:div w:id="5738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077670">
      <w:bodyDiv w:val="1"/>
      <w:marLeft w:val="0"/>
      <w:marRight w:val="0"/>
      <w:marTop w:val="0"/>
      <w:marBottom w:val="0"/>
      <w:divBdr>
        <w:top w:val="none" w:sz="0" w:space="0" w:color="auto"/>
        <w:left w:val="none" w:sz="0" w:space="0" w:color="auto"/>
        <w:bottom w:val="none" w:sz="0" w:space="0" w:color="auto"/>
        <w:right w:val="none" w:sz="0" w:space="0" w:color="auto"/>
      </w:divBdr>
    </w:div>
    <w:div w:id="678314072">
      <w:bodyDiv w:val="1"/>
      <w:marLeft w:val="0"/>
      <w:marRight w:val="0"/>
      <w:marTop w:val="0"/>
      <w:marBottom w:val="0"/>
      <w:divBdr>
        <w:top w:val="none" w:sz="0" w:space="0" w:color="auto"/>
        <w:left w:val="none" w:sz="0" w:space="0" w:color="auto"/>
        <w:bottom w:val="none" w:sz="0" w:space="0" w:color="auto"/>
        <w:right w:val="none" w:sz="0" w:space="0" w:color="auto"/>
      </w:divBdr>
    </w:div>
    <w:div w:id="706562569">
      <w:bodyDiv w:val="1"/>
      <w:marLeft w:val="30"/>
      <w:marRight w:val="30"/>
      <w:marTop w:val="30"/>
      <w:marBottom w:val="30"/>
      <w:divBdr>
        <w:top w:val="none" w:sz="0" w:space="0" w:color="auto"/>
        <w:left w:val="none" w:sz="0" w:space="0" w:color="auto"/>
        <w:bottom w:val="none" w:sz="0" w:space="0" w:color="auto"/>
        <w:right w:val="none" w:sz="0" w:space="0" w:color="auto"/>
      </w:divBdr>
      <w:divsChild>
        <w:div w:id="1829205435">
          <w:marLeft w:val="0"/>
          <w:marRight w:val="0"/>
          <w:marTop w:val="0"/>
          <w:marBottom w:val="0"/>
          <w:divBdr>
            <w:top w:val="none" w:sz="0" w:space="0" w:color="auto"/>
            <w:left w:val="none" w:sz="0" w:space="0" w:color="auto"/>
            <w:bottom w:val="none" w:sz="0" w:space="0" w:color="auto"/>
            <w:right w:val="none" w:sz="0" w:space="0" w:color="auto"/>
          </w:divBdr>
          <w:divsChild>
            <w:div w:id="681053641">
              <w:marLeft w:val="45"/>
              <w:marRight w:val="45"/>
              <w:marTop w:val="45"/>
              <w:marBottom w:val="45"/>
              <w:divBdr>
                <w:top w:val="none" w:sz="0" w:space="0" w:color="auto"/>
                <w:left w:val="none" w:sz="0" w:space="0" w:color="auto"/>
                <w:bottom w:val="none" w:sz="0" w:space="0" w:color="auto"/>
                <w:right w:val="none" w:sz="0" w:space="0" w:color="auto"/>
              </w:divBdr>
              <w:divsChild>
                <w:div w:id="305087791">
                  <w:marLeft w:val="0"/>
                  <w:marRight w:val="0"/>
                  <w:marTop w:val="0"/>
                  <w:marBottom w:val="0"/>
                  <w:divBdr>
                    <w:top w:val="none" w:sz="0" w:space="0" w:color="auto"/>
                    <w:left w:val="none" w:sz="0" w:space="0" w:color="auto"/>
                    <w:bottom w:val="none" w:sz="0" w:space="0" w:color="auto"/>
                    <w:right w:val="none" w:sz="0" w:space="0" w:color="auto"/>
                  </w:divBdr>
                  <w:divsChild>
                    <w:div w:id="1440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88855">
      <w:bodyDiv w:val="1"/>
      <w:marLeft w:val="0"/>
      <w:marRight w:val="0"/>
      <w:marTop w:val="0"/>
      <w:marBottom w:val="0"/>
      <w:divBdr>
        <w:top w:val="none" w:sz="0" w:space="0" w:color="auto"/>
        <w:left w:val="none" w:sz="0" w:space="0" w:color="auto"/>
        <w:bottom w:val="none" w:sz="0" w:space="0" w:color="auto"/>
        <w:right w:val="none" w:sz="0" w:space="0" w:color="auto"/>
      </w:divBdr>
    </w:div>
    <w:div w:id="930089649">
      <w:bodyDiv w:val="1"/>
      <w:marLeft w:val="0"/>
      <w:marRight w:val="0"/>
      <w:marTop w:val="0"/>
      <w:marBottom w:val="0"/>
      <w:divBdr>
        <w:top w:val="none" w:sz="0" w:space="0" w:color="auto"/>
        <w:left w:val="none" w:sz="0" w:space="0" w:color="auto"/>
        <w:bottom w:val="none" w:sz="0" w:space="0" w:color="auto"/>
        <w:right w:val="none" w:sz="0" w:space="0" w:color="auto"/>
      </w:divBdr>
    </w:div>
    <w:div w:id="931744136">
      <w:bodyDiv w:val="1"/>
      <w:marLeft w:val="0"/>
      <w:marRight w:val="0"/>
      <w:marTop w:val="0"/>
      <w:marBottom w:val="0"/>
      <w:divBdr>
        <w:top w:val="none" w:sz="0" w:space="0" w:color="auto"/>
        <w:left w:val="none" w:sz="0" w:space="0" w:color="auto"/>
        <w:bottom w:val="none" w:sz="0" w:space="0" w:color="auto"/>
        <w:right w:val="none" w:sz="0" w:space="0" w:color="auto"/>
      </w:divBdr>
    </w:div>
    <w:div w:id="1069232310">
      <w:bodyDiv w:val="1"/>
      <w:marLeft w:val="0"/>
      <w:marRight w:val="0"/>
      <w:marTop w:val="0"/>
      <w:marBottom w:val="0"/>
      <w:divBdr>
        <w:top w:val="none" w:sz="0" w:space="0" w:color="auto"/>
        <w:left w:val="none" w:sz="0" w:space="0" w:color="auto"/>
        <w:bottom w:val="none" w:sz="0" w:space="0" w:color="auto"/>
        <w:right w:val="none" w:sz="0" w:space="0" w:color="auto"/>
      </w:divBdr>
    </w:div>
    <w:div w:id="1108548623">
      <w:bodyDiv w:val="1"/>
      <w:marLeft w:val="0"/>
      <w:marRight w:val="0"/>
      <w:marTop w:val="0"/>
      <w:marBottom w:val="0"/>
      <w:divBdr>
        <w:top w:val="none" w:sz="0" w:space="0" w:color="auto"/>
        <w:left w:val="none" w:sz="0" w:space="0" w:color="auto"/>
        <w:bottom w:val="none" w:sz="0" w:space="0" w:color="auto"/>
        <w:right w:val="none" w:sz="0" w:space="0" w:color="auto"/>
      </w:divBdr>
    </w:div>
    <w:div w:id="1114597725">
      <w:bodyDiv w:val="1"/>
      <w:marLeft w:val="0"/>
      <w:marRight w:val="0"/>
      <w:marTop w:val="0"/>
      <w:marBottom w:val="0"/>
      <w:divBdr>
        <w:top w:val="none" w:sz="0" w:space="0" w:color="auto"/>
        <w:left w:val="none" w:sz="0" w:space="0" w:color="auto"/>
        <w:bottom w:val="none" w:sz="0" w:space="0" w:color="auto"/>
        <w:right w:val="none" w:sz="0" w:space="0" w:color="auto"/>
      </w:divBdr>
    </w:div>
    <w:div w:id="1115906031">
      <w:bodyDiv w:val="1"/>
      <w:marLeft w:val="0"/>
      <w:marRight w:val="0"/>
      <w:marTop w:val="0"/>
      <w:marBottom w:val="0"/>
      <w:divBdr>
        <w:top w:val="none" w:sz="0" w:space="0" w:color="auto"/>
        <w:left w:val="none" w:sz="0" w:space="0" w:color="auto"/>
        <w:bottom w:val="none" w:sz="0" w:space="0" w:color="auto"/>
        <w:right w:val="none" w:sz="0" w:space="0" w:color="auto"/>
      </w:divBdr>
    </w:div>
    <w:div w:id="1318995804">
      <w:bodyDiv w:val="1"/>
      <w:marLeft w:val="30"/>
      <w:marRight w:val="30"/>
      <w:marTop w:val="30"/>
      <w:marBottom w:val="30"/>
      <w:divBdr>
        <w:top w:val="none" w:sz="0" w:space="0" w:color="auto"/>
        <w:left w:val="none" w:sz="0" w:space="0" w:color="auto"/>
        <w:bottom w:val="none" w:sz="0" w:space="0" w:color="auto"/>
        <w:right w:val="none" w:sz="0" w:space="0" w:color="auto"/>
      </w:divBdr>
      <w:divsChild>
        <w:div w:id="643848690">
          <w:marLeft w:val="0"/>
          <w:marRight w:val="0"/>
          <w:marTop w:val="0"/>
          <w:marBottom w:val="0"/>
          <w:divBdr>
            <w:top w:val="none" w:sz="0" w:space="0" w:color="auto"/>
            <w:left w:val="none" w:sz="0" w:space="0" w:color="auto"/>
            <w:bottom w:val="none" w:sz="0" w:space="0" w:color="auto"/>
            <w:right w:val="none" w:sz="0" w:space="0" w:color="auto"/>
          </w:divBdr>
          <w:divsChild>
            <w:div w:id="1234773876">
              <w:marLeft w:val="45"/>
              <w:marRight w:val="45"/>
              <w:marTop w:val="45"/>
              <w:marBottom w:val="45"/>
              <w:divBdr>
                <w:top w:val="none" w:sz="0" w:space="0" w:color="auto"/>
                <w:left w:val="none" w:sz="0" w:space="0" w:color="auto"/>
                <w:bottom w:val="none" w:sz="0" w:space="0" w:color="auto"/>
                <w:right w:val="none" w:sz="0" w:space="0" w:color="auto"/>
              </w:divBdr>
              <w:divsChild>
                <w:div w:id="290553797">
                  <w:marLeft w:val="0"/>
                  <w:marRight w:val="0"/>
                  <w:marTop w:val="0"/>
                  <w:marBottom w:val="0"/>
                  <w:divBdr>
                    <w:top w:val="none" w:sz="0" w:space="0" w:color="auto"/>
                    <w:left w:val="none" w:sz="0" w:space="0" w:color="auto"/>
                    <w:bottom w:val="none" w:sz="0" w:space="0" w:color="auto"/>
                    <w:right w:val="none" w:sz="0" w:space="0" w:color="auto"/>
                  </w:divBdr>
                  <w:divsChild>
                    <w:div w:id="20706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85127">
      <w:bodyDiv w:val="1"/>
      <w:marLeft w:val="0"/>
      <w:marRight w:val="0"/>
      <w:marTop w:val="0"/>
      <w:marBottom w:val="0"/>
      <w:divBdr>
        <w:top w:val="none" w:sz="0" w:space="0" w:color="auto"/>
        <w:left w:val="none" w:sz="0" w:space="0" w:color="auto"/>
        <w:bottom w:val="none" w:sz="0" w:space="0" w:color="auto"/>
        <w:right w:val="none" w:sz="0" w:space="0" w:color="auto"/>
      </w:divBdr>
    </w:div>
    <w:div w:id="1595434101">
      <w:bodyDiv w:val="1"/>
      <w:marLeft w:val="0"/>
      <w:marRight w:val="0"/>
      <w:marTop w:val="0"/>
      <w:marBottom w:val="0"/>
      <w:divBdr>
        <w:top w:val="none" w:sz="0" w:space="0" w:color="auto"/>
        <w:left w:val="none" w:sz="0" w:space="0" w:color="auto"/>
        <w:bottom w:val="none" w:sz="0" w:space="0" w:color="auto"/>
        <w:right w:val="none" w:sz="0" w:space="0" w:color="auto"/>
      </w:divBdr>
    </w:div>
    <w:div w:id="1781559895">
      <w:bodyDiv w:val="1"/>
      <w:marLeft w:val="0"/>
      <w:marRight w:val="0"/>
      <w:marTop w:val="0"/>
      <w:marBottom w:val="0"/>
      <w:divBdr>
        <w:top w:val="none" w:sz="0" w:space="0" w:color="auto"/>
        <w:left w:val="none" w:sz="0" w:space="0" w:color="auto"/>
        <w:bottom w:val="none" w:sz="0" w:space="0" w:color="auto"/>
        <w:right w:val="none" w:sz="0" w:space="0" w:color="auto"/>
      </w:divBdr>
      <w:divsChild>
        <w:div w:id="1284341051">
          <w:marLeft w:val="0"/>
          <w:marRight w:val="0"/>
          <w:marTop w:val="0"/>
          <w:marBottom w:val="0"/>
          <w:divBdr>
            <w:top w:val="none" w:sz="0" w:space="0" w:color="auto"/>
            <w:left w:val="single" w:sz="6" w:space="0" w:color="BBBBBB"/>
            <w:bottom w:val="single" w:sz="6" w:space="0" w:color="BBBBBB"/>
            <w:right w:val="single" w:sz="6" w:space="0" w:color="BBBBBB"/>
          </w:divBdr>
          <w:divsChild>
            <w:div w:id="250747207">
              <w:marLeft w:val="0"/>
              <w:marRight w:val="0"/>
              <w:marTop w:val="0"/>
              <w:marBottom w:val="0"/>
              <w:divBdr>
                <w:top w:val="none" w:sz="0" w:space="0" w:color="auto"/>
                <w:left w:val="none" w:sz="0" w:space="0" w:color="auto"/>
                <w:bottom w:val="none" w:sz="0" w:space="0" w:color="auto"/>
                <w:right w:val="none" w:sz="0" w:space="0" w:color="auto"/>
              </w:divBdr>
              <w:divsChild>
                <w:div w:id="160778025">
                  <w:marLeft w:val="0"/>
                  <w:marRight w:val="0"/>
                  <w:marTop w:val="0"/>
                  <w:marBottom w:val="0"/>
                  <w:divBdr>
                    <w:top w:val="none" w:sz="0" w:space="0" w:color="auto"/>
                    <w:left w:val="none" w:sz="0" w:space="0" w:color="auto"/>
                    <w:bottom w:val="none" w:sz="0" w:space="0" w:color="auto"/>
                    <w:right w:val="none" w:sz="0" w:space="0" w:color="auto"/>
                  </w:divBdr>
                  <w:divsChild>
                    <w:div w:id="465046996">
                      <w:marLeft w:val="0"/>
                      <w:marRight w:val="0"/>
                      <w:marTop w:val="0"/>
                      <w:marBottom w:val="0"/>
                      <w:divBdr>
                        <w:top w:val="none" w:sz="0" w:space="0" w:color="auto"/>
                        <w:left w:val="none" w:sz="0" w:space="0" w:color="auto"/>
                        <w:bottom w:val="none" w:sz="0" w:space="0" w:color="auto"/>
                        <w:right w:val="none" w:sz="0" w:space="0" w:color="auto"/>
                      </w:divBdr>
                      <w:divsChild>
                        <w:div w:id="1841701050">
                          <w:marLeft w:val="0"/>
                          <w:marRight w:val="0"/>
                          <w:marTop w:val="0"/>
                          <w:marBottom w:val="0"/>
                          <w:divBdr>
                            <w:top w:val="none" w:sz="0" w:space="0" w:color="auto"/>
                            <w:left w:val="none" w:sz="0" w:space="0" w:color="auto"/>
                            <w:bottom w:val="none" w:sz="0" w:space="0" w:color="auto"/>
                            <w:right w:val="none" w:sz="0" w:space="0" w:color="auto"/>
                          </w:divBdr>
                          <w:divsChild>
                            <w:div w:id="1548373390">
                              <w:marLeft w:val="0"/>
                              <w:marRight w:val="0"/>
                              <w:marTop w:val="0"/>
                              <w:marBottom w:val="0"/>
                              <w:divBdr>
                                <w:top w:val="none" w:sz="0" w:space="0" w:color="auto"/>
                                <w:left w:val="none" w:sz="0" w:space="0" w:color="auto"/>
                                <w:bottom w:val="none" w:sz="0" w:space="0" w:color="auto"/>
                                <w:right w:val="none" w:sz="0" w:space="0" w:color="auto"/>
                              </w:divBdr>
                              <w:divsChild>
                                <w:div w:id="952596030">
                                  <w:marLeft w:val="0"/>
                                  <w:marRight w:val="0"/>
                                  <w:marTop w:val="0"/>
                                  <w:marBottom w:val="0"/>
                                  <w:divBdr>
                                    <w:top w:val="none" w:sz="0" w:space="0" w:color="auto"/>
                                    <w:left w:val="none" w:sz="0" w:space="0" w:color="auto"/>
                                    <w:bottom w:val="none" w:sz="0" w:space="0" w:color="auto"/>
                                    <w:right w:val="none" w:sz="0" w:space="0" w:color="auto"/>
                                  </w:divBdr>
                                  <w:divsChild>
                                    <w:div w:id="1079403328">
                                      <w:marLeft w:val="0"/>
                                      <w:marRight w:val="0"/>
                                      <w:marTop w:val="0"/>
                                      <w:marBottom w:val="0"/>
                                      <w:divBdr>
                                        <w:top w:val="none" w:sz="0" w:space="0" w:color="auto"/>
                                        <w:left w:val="none" w:sz="0" w:space="0" w:color="auto"/>
                                        <w:bottom w:val="none" w:sz="0" w:space="0" w:color="auto"/>
                                        <w:right w:val="none" w:sz="0" w:space="0" w:color="auto"/>
                                      </w:divBdr>
                                      <w:divsChild>
                                        <w:div w:id="667445233">
                                          <w:marLeft w:val="1200"/>
                                          <w:marRight w:val="1200"/>
                                          <w:marTop w:val="0"/>
                                          <w:marBottom w:val="0"/>
                                          <w:divBdr>
                                            <w:top w:val="none" w:sz="0" w:space="0" w:color="auto"/>
                                            <w:left w:val="none" w:sz="0" w:space="0" w:color="auto"/>
                                            <w:bottom w:val="none" w:sz="0" w:space="0" w:color="auto"/>
                                            <w:right w:val="none" w:sz="0" w:space="0" w:color="auto"/>
                                          </w:divBdr>
                                          <w:divsChild>
                                            <w:div w:id="179393613">
                                              <w:marLeft w:val="0"/>
                                              <w:marRight w:val="0"/>
                                              <w:marTop w:val="0"/>
                                              <w:marBottom w:val="0"/>
                                              <w:divBdr>
                                                <w:top w:val="none" w:sz="0" w:space="0" w:color="auto"/>
                                                <w:left w:val="none" w:sz="0" w:space="0" w:color="auto"/>
                                                <w:bottom w:val="none" w:sz="0" w:space="0" w:color="auto"/>
                                                <w:right w:val="none" w:sz="0" w:space="0" w:color="auto"/>
                                              </w:divBdr>
                                              <w:divsChild>
                                                <w:div w:id="1753431518">
                                                  <w:marLeft w:val="0"/>
                                                  <w:marRight w:val="0"/>
                                                  <w:marTop w:val="0"/>
                                                  <w:marBottom w:val="0"/>
                                                  <w:divBdr>
                                                    <w:top w:val="none" w:sz="0" w:space="0" w:color="auto"/>
                                                    <w:left w:val="none" w:sz="0" w:space="0" w:color="auto"/>
                                                    <w:bottom w:val="none" w:sz="0" w:space="0" w:color="auto"/>
                                                    <w:right w:val="none" w:sz="0" w:space="0" w:color="auto"/>
                                                  </w:divBdr>
                                                  <w:divsChild>
                                                    <w:div w:id="1575823032">
                                                      <w:marLeft w:val="0"/>
                                                      <w:marRight w:val="0"/>
                                                      <w:marTop w:val="0"/>
                                                      <w:marBottom w:val="0"/>
                                                      <w:divBdr>
                                                        <w:top w:val="none" w:sz="0" w:space="0" w:color="auto"/>
                                                        <w:left w:val="none" w:sz="0" w:space="0" w:color="auto"/>
                                                        <w:bottom w:val="none" w:sz="0" w:space="0" w:color="auto"/>
                                                        <w:right w:val="none" w:sz="0" w:space="0" w:color="auto"/>
                                                      </w:divBdr>
                                                      <w:divsChild>
                                                        <w:div w:id="705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99117">
      <w:bodyDiv w:val="1"/>
      <w:marLeft w:val="0"/>
      <w:marRight w:val="0"/>
      <w:marTop w:val="0"/>
      <w:marBottom w:val="0"/>
      <w:divBdr>
        <w:top w:val="none" w:sz="0" w:space="0" w:color="auto"/>
        <w:left w:val="none" w:sz="0" w:space="0" w:color="auto"/>
        <w:bottom w:val="none" w:sz="0" w:space="0" w:color="auto"/>
        <w:right w:val="none" w:sz="0" w:space="0" w:color="auto"/>
      </w:divBdr>
    </w:div>
    <w:div w:id="1838764063">
      <w:bodyDiv w:val="1"/>
      <w:marLeft w:val="0"/>
      <w:marRight w:val="0"/>
      <w:marTop w:val="0"/>
      <w:marBottom w:val="0"/>
      <w:divBdr>
        <w:top w:val="none" w:sz="0" w:space="0" w:color="auto"/>
        <w:left w:val="none" w:sz="0" w:space="0" w:color="auto"/>
        <w:bottom w:val="none" w:sz="0" w:space="0" w:color="auto"/>
        <w:right w:val="none" w:sz="0" w:space="0" w:color="auto"/>
      </w:divBdr>
    </w:div>
    <w:div w:id="1845628566">
      <w:bodyDiv w:val="1"/>
      <w:marLeft w:val="0"/>
      <w:marRight w:val="0"/>
      <w:marTop w:val="0"/>
      <w:marBottom w:val="0"/>
      <w:divBdr>
        <w:top w:val="none" w:sz="0" w:space="0" w:color="auto"/>
        <w:left w:val="none" w:sz="0" w:space="0" w:color="auto"/>
        <w:bottom w:val="none" w:sz="0" w:space="0" w:color="auto"/>
        <w:right w:val="none" w:sz="0" w:space="0" w:color="auto"/>
      </w:divBdr>
    </w:div>
    <w:div w:id="1846632813">
      <w:bodyDiv w:val="1"/>
      <w:marLeft w:val="0"/>
      <w:marRight w:val="0"/>
      <w:marTop w:val="0"/>
      <w:marBottom w:val="0"/>
      <w:divBdr>
        <w:top w:val="none" w:sz="0" w:space="0" w:color="auto"/>
        <w:left w:val="none" w:sz="0" w:space="0" w:color="auto"/>
        <w:bottom w:val="none" w:sz="0" w:space="0" w:color="auto"/>
        <w:right w:val="none" w:sz="0" w:space="0" w:color="auto"/>
      </w:divBdr>
    </w:div>
    <w:div w:id="1910722250">
      <w:bodyDiv w:val="1"/>
      <w:marLeft w:val="0"/>
      <w:marRight w:val="0"/>
      <w:marTop w:val="0"/>
      <w:marBottom w:val="0"/>
      <w:divBdr>
        <w:top w:val="none" w:sz="0" w:space="0" w:color="auto"/>
        <w:left w:val="none" w:sz="0" w:space="0" w:color="auto"/>
        <w:bottom w:val="none" w:sz="0" w:space="0" w:color="auto"/>
        <w:right w:val="none" w:sz="0" w:space="0" w:color="auto"/>
      </w:divBdr>
    </w:div>
    <w:div w:id="2009938877">
      <w:bodyDiv w:val="1"/>
      <w:marLeft w:val="0"/>
      <w:marRight w:val="0"/>
      <w:marTop w:val="0"/>
      <w:marBottom w:val="0"/>
      <w:divBdr>
        <w:top w:val="none" w:sz="0" w:space="0" w:color="auto"/>
        <w:left w:val="none" w:sz="0" w:space="0" w:color="auto"/>
        <w:bottom w:val="none" w:sz="0" w:space="0" w:color="auto"/>
        <w:right w:val="none" w:sz="0" w:space="0" w:color="auto"/>
      </w:divBdr>
    </w:div>
    <w:div w:id="2143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588C-A2DD-4D8C-8669-0A6037D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C4CD9695.dotm</Template>
  <TotalTime>0</TotalTime>
  <Pages>27</Pages>
  <Words>8084</Words>
  <Characters>46085</Characters>
  <Application>Microsoft Office Word</Application>
  <DocSecurity>8</DocSecurity>
  <Lines>384</Lines>
  <Paragraphs>108</Paragraphs>
  <ScaleCrop>false</ScaleCrop>
  <HeadingPairs>
    <vt:vector size="2" baseType="variant">
      <vt:variant>
        <vt:lpstr>Title</vt:lpstr>
      </vt:variant>
      <vt:variant>
        <vt:i4>1</vt:i4>
      </vt:variant>
    </vt:vector>
  </HeadingPairs>
  <TitlesOfParts>
    <vt:vector size="1" baseType="lpstr">
      <vt:lpstr>TO PLACE DECISIONS INTO THIS DOCUMENT, PLEASE FOLLOW THESE STEPS:</vt:lpstr>
    </vt:vector>
  </TitlesOfParts>
  <Company>State of Minnesota</Company>
  <LinksUpToDate>false</LinksUpToDate>
  <CharactersWithSpaces>54061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PLACE DECISIONS INTO THIS DOCUMENT, PLEASE FOLLOW THESE STEPS:</dc:title>
  <dc:creator>CAROLO</dc:creator>
  <cp:lastModifiedBy>Moriarty, Erin</cp:lastModifiedBy>
  <cp:revision>2</cp:revision>
  <cp:lastPrinted>2014-12-03T22:13:00Z</cp:lastPrinted>
  <dcterms:created xsi:type="dcterms:W3CDTF">2014-12-04T15:51:00Z</dcterms:created>
  <dcterms:modified xsi:type="dcterms:W3CDTF">2014-12-04T15:51:00Z</dcterms:modified>
</cp:coreProperties>
</file>