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F1" w:rsidRDefault="008E4FEB">
      <w:r>
        <w:t xml:space="preserve">Answers to Vendor Questions </w:t>
      </w:r>
      <w:r w:rsidR="000A59F1">
        <w:t xml:space="preserve">for MN Judicial Branch </w:t>
      </w:r>
      <w:r w:rsidR="000A59F1" w:rsidRPr="000A59F1">
        <w:t>Salary Structure Benchmark and Compensation Study</w:t>
      </w:r>
      <w:r w:rsidR="000A59F1">
        <w:t xml:space="preserve"> RFP</w:t>
      </w:r>
    </w:p>
    <w:p w:rsidR="000A59F1" w:rsidRDefault="000A59F1" w:rsidP="000A5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Do you have a list of peers that you use for conducting compensation surveys? If so, will you provide it to us?</w:t>
      </w:r>
    </w:p>
    <w:p w:rsidR="009C4C60" w:rsidRPr="00F10B2F" w:rsidRDefault="002112B8" w:rsidP="004A3685">
      <w:pPr>
        <w:spacing w:before="100" w:beforeAutospacing="1" w:after="100" w:afterAutospacing="1" w:line="240" w:lineRule="auto"/>
        <w:ind w:left="720"/>
        <w:rPr>
          <w:rFonts w:ascii="Calibri" w:eastAsia="Times New Roman" w:hAnsi="Calibri"/>
          <w:i/>
          <w:sz w:val="20"/>
          <w:szCs w:val="20"/>
        </w:rPr>
      </w:pPr>
      <w:r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We will provide </w:t>
      </w:r>
      <w:r w:rsidR="00F10B2F"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a list of </w:t>
      </w:r>
      <w:r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local public sector and state</w:t>
      </w:r>
      <w:r w:rsidR="00F10B2F"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</w:t>
      </w:r>
      <w:r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court</w:t>
      </w:r>
      <w:r w:rsidR="00F10B2F"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system</w:t>
      </w:r>
      <w:r w:rsidR="005D2B42"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s</w:t>
      </w:r>
      <w:r w:rsidR="00F10B2F"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used in previous studies to benchmark our pay ranges</w:t>
      </w:r>
      <w:r w:rsidR="00F10B2F" w:rsidRPr="00F10B2F">
        <w:rPr>
          <w:rFonts w:ascii="Calibri" w:eastAsia="Times New Roman" w:hAnsi="Calibri"/>
          <w:i/>
          <w:sz w:val="20"/>
          <w:szCs w:val="20"/>
        </w:rPr>
        <w:t>.</w:t>
      </w:r>
    </w:p>
    <w:p w:rsidR="009B1438" w:rsidRPr="009B1438" w:rsidRDefault="000A59F1" w:rsidP="009B1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Will you let us know what level of local data you are hoping to obtain? Are you trying to get local data for each judicial district?</w:t>
      </w:r>
    </w:p>
    <w:p w:rsidR="000549FC" w:rsidRDefault="00F10B2F" w:rsidP="00F10B2F">
      <w:pPr>
        <w:spacing w:before="100" w:beforeAutospacing="1" w:after="100" w:afterAutospacing="1" w:line="240" w:lineRule="auto"/>
        <w:ind w:left="720"/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</w:pPr>
      <w:r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The MN Judicial Branch is a unified, state-funded system and positions in all judicial districts within the branch are covered by the same pay plans.</w:t>
      </w:r>
      <w:r w:rsidR="005D2B42"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</w:t>
      </w:r>
      <w:r w:rsidR="000549FC"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Our current plans </w:t>
      </w:r>
      <w:r w:rsidR="000549FC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contain</w:t>
      </w:r>
      <w:r w:rsidR="000549FC"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no geographic differentials</w:t>
      </w:r>
      <w:r w:rsidR="000549FC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.</w:t>
      </w:r>
      <w:r w:rsidR="000549FC"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</w:t>
      </w:r>
      <w:r w:rsidR="008F2308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L</w:t>
      </w:r>
      <w:r w:rsidR="00207EF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imited</w:t>
      </w:r>
      <w:r w:rsidR="00207EF5"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</w:t>
      </w:r>
      <w:r w:rsidR="00207EF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need for local </w:t>
      </w:r>
      <w:r w:rsidR="00207EF5"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market data f</w:t>
      </w:r>
      <w:r w:rsidR="00207EF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rom </w:t>
      </w:r>
      <w:r w:rsidR="00207EF5" w:rsidRP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the individual judicial districts is </w:t>
      </w:r>
      <w:r w:rsidR="00207EF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anticipated for most benchmark job classes.</w:t>
      </w:r>
      <w:r w:rsidR="009C4C60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</w:t>
      </w:r>
    </w:p>
    <w:p w:rsidR="009C4C60" w:rsidRDefault="00707738" w:rsidP="00207EF5">
      <w:pPr>
        <w:spacing w:before="100" w:beforeAutospacing="1" w:after="100" w:afterAutospacing="1" w:line="240" w:lineRule="auto"/>
        <w:ind w:left="720"/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</w:pPr>
      <w:r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For public sector </w:t>
      </w:r>
      <w:r w:rsidR="00207EF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market </w:t>
      </w:r>
      <w:r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comparisons, p</w:t>
      </w:r>
      <w:r w:rsidR="005D2B4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revious benchmark stud</w:t>
      </w:r>
      <w:r w:rsidR="00BB581B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ies compared</w:t>
      </w:r>
      <w:r w:rsidR="00A0478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pub</w:t>
      </w:r>
      <w:r w:rsidR="00207EF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licly available pay range data of local and statewide </w:t>
      </w:r>
      <w:r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public sector agencies</w:t>
      </w:r>
      <w:r w:rsidR="000549FC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.</w:t>
      </w:r>
      <w:r w:rsidR="00207EF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 We are open to hearing recommended </w:t>
      </w:r>
      <w:r w:rsidR="00933058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methodologies for </w:t>
      </w:r>
      <w:r w:rsidR="00207EF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data </w:t>
      </w:r>
      <w:r w:rsidR="00933058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gathering and </w:t>
      </w:r>
      <w:r w:rsidR="00207EF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comparison proposed by vendors responding to this RFP.</w:t>
      </w:r>
      <w:r w:rsidR="000549FC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</w:t>
      </w:r>
    </w:p>
    <w:p w:rsidR="009B1438" w:rsidRDefault="000A59F1" w:rsidP="0057475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  <w:r w:rsidRPr="0057475B">
        <w:rPr>
          <w:rFonts w:ascii="Calibri" w:eastAsia="Times New Roman" w:hAnsi="Calibri"/>
          <w:sz w:val="20"/>
          <w:szCs w:val="20"/>
        </w:rPr>
        <w:t>Do you have a budget for this project, and if so, will you please let us know what it is?</w:t>
      </w:r>
    </w:p>
    <w:p w:rsidR="0057475B" w:rsidRDefault="0057475B" w:rsidP="0057475B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</w:p>
    <w:p w:rsidR="0057475B" w:rsidRPr="0057475B" w:rsidRDefault="0057475B" w:rsidP="0057475B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</w:pPr>
      <w:r w:rsidRPr="0057475B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No budget has been set. Study cost is one factor among the others listed in the RFP that will be used to evaluate proposals.</w:t>
      </w:r>
    </w:p>
    <w:p w:rsidR="009B1438" w:rsidRDefault="000A59F1" w:rsidP="009B1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Have you been working with a consulting firm on other compensation/classification needs, and if so, will </w:t>
      </w:r>
      <w:proofErr w:type="gramStart"/>
      <w:r>
        <w:rPr>
          <w:rFonts w:ascii="Calibri" w:eastAsia="Times New Roman" w:hAnsi="Calibri"/>
          <w:sz w:val="20"/>
          <w:szCs w:val="20"/>
        </w:rPr>
        <w:t>you</w:t>
      </w:r>
      <w:proofErr w:type="gramEnd"/>
      <w:r>
        <w:rPr>
          <w:rFonts w:ascii="Calibri" w:eastAsia="Times New Roman" w:hAnsi="Calibri"/>
          <w:sz w:val="20"/>
          <w:szCs w:val="20"/>
        </w:rPr>
        <w:t xml:space="preserve"> please let us know what firm?</w:t>
      </w:r>
    </w:p>
    <w:p w:rsidR="007F5636" w:rsidRDefault="009B1438" w:rsidP="007F5636">
      <w:pPr>
        <w:spacing w:before="100" w:beforeAutospacing="1" w:after="100" w:afterAutospacing="1" w:line="240" w:lineRule="auto"/>
        <w:ind w:left="720"/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</w:pPr>
      <w:r w:rsidRP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The National Center for State Courts worked with us to establish our </w:t>
      </w:r>
      <w:r w:rsidR="00BF5992" w:rsidRP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branch-wide job classification/ job</w:t>
      </w:r>
      <w:r w:rsidRP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evaluation system</w:t>
      </w:r>
      <w:r w:rsidR="00BF5992" w:rsidRP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s and construct our ori</w:t>
      </w:r>
      <w:r w:rsid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ginal salary structure in 2000 </w:t>
      </w:r>
      <w:r w:rsidR="00BF5992" w:rsidRP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and has provided some follow-up consultation on compensation matters and other court-related issues since that time</w:t>
      </w:r>
      <w:r w:rsid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.</w:t>
      </w:r>
      <w:r w:rsidR="00BF5992" w:rsidRP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</w:t>
      </w:r>
      <w:r w:rsid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MJB has not worked with other consulting firms for classification/compensation matters and </w:t>
      </w:r>
      <w:r w:rsidR="00BF5992" w:rsidRP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the major subsequent studies </w:t>
      </w:r>
      <w:r w:rsidR="007F5636" w:rsidRP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and daily administration is</w:t>
      </w:r>
      <w:r w:rsidR="00BF5992" w:rsidRP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carried out in-house.</w:t>
      </w:r>
      <w:r w:rsidR="007F5636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</w:t>
      </w:r>
    </w:p>
    <w:p w:rsidR="000A59F1" w:rsidRPr="007F5636" w:rsidRDefault="000A59F1" w:rsidP="007F56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</w:pPr>
      <w:r w:rsidRPr="007F5636">
        <w:rPr>
          <w:rFonts w:ascii="Calibri" w:eastAsia="Times New Roman" w:hAnsi="Calibri"/>
          <w:sz w:val="20"/>
          <w:szCs w:val="20"/>
        </w:rPr>
        <w:t>Do you already have position description questionnaires completed?</w:t>
      </w:r>
    </w:p>
    <w:p w:rsidR="007F5636" w:rsidRDefault="007F5636" w:rsidP="007F5636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</w:p>
    <w:p w:rsidR="00730B00" w:rsidRDefault="00730B00" w:rsidP="007F5636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</w:pPr>
      <w:r w:rsidRPr="00A15F23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We expect benchmarking to be based on our job classification specification</w:t>
      </w:r>
      <w:r w:rsidR="007B4254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s</w:t>
      </w:r>
      <w:r w:rsidRPr="00A15F23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. For the more in-depth analysis requests for IT and Business Analysis roles, we have both job class and position descriptions. </w:t>
      </w:r>
    </w:p>
    <w:p w:rsidR="00497467" w:rsidRPr="00497467" w:rsidRDefault="00497467" w:rsidP="007F5636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/>
          <w:sz w:val="20"/>
          <w:szCs w:val="20"/>
        </w:rPr>
      </w:pPr>
    </w:p>
    <w:p w:rsidR="00C71E0C" w:rsidRDefault="00C71E0C" w:rsidP="00C71E0C">
      <w:pPr>
        <w:pStyle w:val="ListParagraph"/>
        <w:numPr>
          <w:ilvl w:val="0"/>
          <w:numId w:val="1"/>
        </w:numPr>
        <w:rPr>
          <w:rFonts w:ascii="Calibri" w:eastAsia="Times New Roman" w:hAnsi="Calibri"/>
          <w:sz w:val="20"/>
          <w:szCs w:val="20"/>
        </w:rPr>
      </w:pPr>
      <w:r w:rsidRPr="00497467">
        <w:rPr>
          <w:rFonts w:ascii="Calibri" w:eastAsia="Times New Roman" w:hAnsi="Calibri"/>
          <w:sz w:val="20"/>
          <w:szCs w:val="20"/>
        </w:rPr>
        <w:t>What are MJB’s bargaining groups?</w:t>
      </w:r>
    </w:p>
    <w:p w:rsidR="00C71E0C" w:rsidRPr="00497467" w:rsidRDefault="00C71E0C" w:rsidP="00C71E0C">
      <w:pPr>
        <w:pStyle w:val="ListParagraph"/>
        <w:rPr>
          <w:rFonts w:ascii="Calibri" w:eastAsia="Times New Roman" w:hAnsi="Calibri"/>
          <w:sz w:val="20"/>
          <w:szCs w:val="20"/>
        </w:rPr>
      </w:pPr>
    </w:p>
    <w:p w:rsidR="000A59F1" w:rsidRDefault="00C71E0C" w:rsidP="004521AB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</w:pPr>
      <w:r w:rsidRPr="004A368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Clerical, Adminis</w:t>
      </w:r>
      <w:r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trative and Technical </w:t>
      </w:r>
      <w:r w:rsidRPr="004A368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employees in the Second, Third, Fourth, Fifth, Sixth, Ninth and Tenth Judicial Districts are represented by MN Council Numbers 5 and 65, AFSCME, AFL-CIO.  Clerical, Administrative and Technical employees in the First and Seventh Districts are represented by the MN Teamsters Public and Law Enforcement Employees’ Union, Local No. </w:t>
      </w:r>
      <w:proofErr w:type="gramStart"/>
      <w:r w:rsidRPr="004A368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320 </w:t>
      </w:r>
      <w:r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.</w:t>
      </w:r>
      <w:proofErr w:type="gramEnd"/>
      <w:r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The</w:t>
      </w:r>
      <w:r w:rsidRPr="004A368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Official Court Reporter Statewide Bargaining Unit is represented by M</w:t>
      </w:r>
      <w:r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N</w:t>
      </w:r>
      <w:r w:rsidRPr="004A368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Teamsters Public </w:t>
      </w:r>
      <w:r w:rsidR="00372A39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a</w:t>
      </w:r>
      <w:r w:rsidRPr="004A368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nd Law Enforcement</w:t>
      </w:r>
      <w:r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</w:t>
      </w:r>
      <w:r w:rsidRPr="004A368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Employees’ Union, Local No. 320</w:t>
      </w:r>
      <w:r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.</w:t>
      </w:r>
      <w:r w:rsidR="00372A39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The MN Judicial Branch Human Resources Rules are adopted by the Judicial Council to govern i</w:t>
      </w:r>
      <w:r w:rsidR="004521AB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ts relationship with employees </w:t>
      </w:r>
      <w:r w:rsidR="00372A39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of the branch who are not covered by a collective bargaining agreement. </w:t>
      </w:r>
    </w:p>
    <w:p w:rsidR="0035380E" w:rsidRDefault="0035380E" w:rsidP="004521AB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</w:pPr>
    </w:p>
    <w:p w:rsidR="0035380E" w:rsidRPr="0035380E" w:rsidRDefault="0035380E" w:rsidP="003538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H</w:t>
      </w:r>
      <w:r>
        <w:rPr>
          <w:rFonts w:ascii="Calibri" w:eastAsia="Times New Roman" w:hAnsi="Calibri"/>
          <w:sz w:val="20"/>
          <w:szCs w:val="20"/>
        </w:rPr>
        <w:t xml:space="preserve">ow many classification titles </w:t>
      </w:r>
      <w:r>
        <w:rPr>
          <w:rFonts w:ascii="Calibri" w:eastAsia="Times New Roman" w:hAnsi="Calibri"/>
          <w:sz w:val="20"/>
          <w:szCs w:val="20"/>
        </w:rPr>
        <w:t xml:space="preserve">does </w:t>
      </w:r>
      <w:r>
        <w:rPr>
          <w:rFonts w:ascii="Calibri" w:eastAsia="Times New Roman" w:hAnsi="Calibri"/>
          <w:sz w:val="20"/>
          <w:szCs w:val="20"/>
        </w:rPr>
        <w:t>t</w:t>
      </w:r>
      <w:r>
        <w:rPr>
          <w:rFonts w:ascii="Calibri" w:eastAsia="Times New Roman" w:hAnsi="Calibri"/>
          <w:sz w:val="20"/>
          <w:szCs w:val="20"/>
        </w:rPr>
        <w:t>he Minnesota Judicial Branch have?</w:t>
      </w:r>
    </w:p>
    <w:p w:rsidR="0035380E" w:rsidRDefault="0035380E" w:rsidP="0035380E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</w:pPr>
    </w:p>
    <w:p w:rsidR="0035380E" w:rsidRPr="004521AB" w:rsidRDefault="0035380E" w:rsidP="0035380E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</w:pPr>
      <w:r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MJB has approximately </w:t>
      </w:r>
      <w:r w:rsidR="0080443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2500 </w:t>
      </w:r>
      <w:r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full and part-time employees in 160 job classifications in 19 pay grades. About 20 </w:t>
      </w:r>
      <w:r w:rsidR="0080443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job classifications</w:t>
      </w:r>
      <w:r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are single-incumbent.</w:t>
      </w:r>
      <w:r w:rsidR="00284B9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 The Senior Court Clerk job class has approximately </w:t>
      </w:r>
      <w:r w:rsidR="00804432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 xml:space="preserve">1000 </w:t>
      </w:r>
      <w:r w:rsidR="00284B95">
        <w:rPr>
          <w:rFonts w:ascii="Calibri" w:eastAsia="Times New Roman" w:hAnsi="Calibri"/>
          <w:i/>
          <w:color w:val="632423" w:themeColor="accent2" w:themeShade="80"/>
          <w:sz w:val="20"/>
          <w:szCs w:val="20"/>
        </w:rPr>
        <w:t>employees.</w:t>
      </w:r>
    </w:p>
    <w:sectPr w:rsidR="0035380E" w:rsidRPr="004521AB" w:rsidSect="0035380E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84C"/>
    <w:multiLevelType w:val="multilevel"/>
    <w:tmpl w:val="D17A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F1"/>
    <w:rsid w:val="000549FC"/>
    <w:rsid w:val="000A59F1"/>
    <w:rsid w:val="00205D09"/>
    <w:rsid w:val="00207EF5"/>
    <w:rsid w:val="002112B8"/>
    <w:rsid w:val="00284B95"/>
    <w:rsid w:val="0035380E"/>
    <w:rsid w:val="00372A39"/>
    <w:rsid w:val="004521AB"/>
    <w:rsid w:val="004529BC"/>
    <w:rsid w:val="00497467"/>
    <w:rsid w:val="004A3685"/>
    <w:rsid w:val="0057475B"/>
    <w:rsid w:val="005D2B42"/>
    <w:rsid w:val="00707738"/>
    <w:rsid w:val="00730B00"/>
    <w:rsid w:val="007B14F7"/>
    <w:rsid w:val="007B4254"/>
    <w:rsid w:val="007F5636"/>
    <w:rsid w:val="00804432"/>
    <w:rsid w:val="008E4FEB"/>
    <w:rsid w:val="008F2308"/>
    <w:rsid w:val="00933058"/>
    <w:rsid w:val="009B1438"/>
    <w:rsid w:val="009C4C60"/>
    <w:rsid w:val="00A04785"/>
    <w:rsid w:val="00A15F23"/>
    <w:rsid w:val="00BA3578"/>
    <w:rsid w:val="00BB581B"/>
    <w:rsid w:val="00BF5992"/>
    <w:rsid w:val="00C71E0C"/>
    <w:rsid w:val="00E95F6F"/>
    <w:rsid w:val="00F1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38"/>
    <w:pPr>
      <w:ind w:left="720"/>
      <w:contextualSpacing/>
    </w:pPr>
  </w:style>
  <w:style w:type="paragraph" w:customStyle="1" w:styleId="Default">
    <w:name w:val="Default"/>
    <w:rsid w:val="00497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38"/>
    <w:pPr>
      <w:ind w:left="720"/>
      <w:contextualSpacing/>
    </w:pPr>
  </w:style>
  <w:style w:type="paragraph" w:customStyle="1" w:styleId="Default">
    <w:name w:val="Default"/>
    <w:rsid w:val="00497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LePage, Andrea</dc:creator>
  <cp:lastModifiedBy>LePage, Andrea</cp:lastModifiedBy>
  <cp:revision>5</cp:revision>
  <dcterms:created xsi:type="dcterms:W3CDTF">2014-01-16T16:26:00Z</dcterms:created>
  <dcterms:modified xsi:type="dcterms:W3CDTF">2014-01-16T18:20:00Z</dcterms:modified>
</cp:coreProperties>
</file>