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60" w:rsidRPr="00724879" w:rsidRDefault="00531045" w:rsidP="00964EE3">
      <w:pPr>
        <w:pStyle w:val="Default"/>
        <w:contextualSpacing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16A60">
        <w:rPr>
          <w:rFonts w:ascii="Verdana" w:hAnsi="Verdana"/>
          <w:b/>
          <w:bCs/>
          <w:sz w:val="32"/>
          <w:szCs w:val="32"/>
          <w:u w:val="single"/>
        </w:rPr>
        <w:t xml:space="preserve">FINANCIAL EARLY NEUTRAL EVALUATION (FENE) </w:t>
      </w:r>
      <w:r w:rsidR="00724879">
        <w:rPr>
          <w:rFonts w:ascii="Verdana" w:hAnsi="Verdana"/>
          <w:b/>
          <w:bCs/>
          <w:sz w:val="32"/>
          <w:szCs w:val="32"/>
          <w:u w:val="single"/>
        </w:rPr>
        <w:br/>
      </w:r>
    </w:p>
    <w:p w:rsidR="00531045" w:rsidRDefault="00531045" w:rsidP="00964EE3">
      <w:pPr>
        <w:pStyle w:val="Default"/>
        <w:numPr>
          <w:ilvl w:val="0"/>
          <w:numId w:val="1"/>
        </w:numPr>
        <w:spacing w:after="148"/>
        <w:contextualSpacing/>
        <w:rPr>
          <w:rFonts w:ascii="Verdana" w:hAnsi="Verdana"/>
          <w:sz w:val="21"/>
          <w:szCs w:val="21"/>
        </w:rPr>
      </w:pPr>
      <w:r w:rsidRPr="00115A5B">
        <w:rPr>
          <w:rFonts w:ascii="Verdana" w:hAnsi="Verdana"/>
          <w:sz w:val="21"/>
          <w:szCs w:val="21"/>
        </w:rPr>
        <w:t xml:space="preserve">Is a form of </w:t>
      </w:r>
      <w:r w:rsidR="00EF4E5E" w:rsidRPr="00115A5B">
        <w:rPr>
          <w:rFonts w:ascii="Verdana" w:hAnsi="Verdana"/>
          <w:sz w:val="21"/>
          <w:szCs w:val="21"/>
        </w:rPr>
        <w:t>alternative dispute resolution (ADR)</w:t>
      </w:r>
      <w:r w:rsidRPr="00115A5B">
        <w:rPr>
          <w:rFonts w:ascii="Verdana" w:hAnsi="Verdana"/>
          <w:sz w:val="21"/>
          <w:szCs w:val="21"/>
        </w:rPr>
        <w:t xml:space="preserve">. </w:t>
      </w:r>
    </w:p>
    <w:p w:rsidR="00115A5B" w:rsidRPr="00115A5B" w:rsidRDefault="00115A5B" w:rsidP="00115A5B">
      <w:pPr>
        <w:pStyle w:val="Default"/>
        <w:spacing w:after="148"/>
        <w:ind w:left="360"/>
        <w:contextualSpacing/>
        <w:rPr>
          <w:rFonts w:ascii="Verdana" w:hAnsi="Verdana"/>
          <w:sz w:val="21"/>
          <w:szCs w:val="21"/>
        </w:rPr>
      </w:pPr>
    </w:p>
    <w:p w:rsidR="00531045" w:rsidRDefault="00EF4E5E" w:rsidP="00115A5B">
      <w:pPr>
        <w:pStyle w:val="Default"/>
        <w:numPr>
          <w:ilvl w:val="0"/>
          <w:numId w:val="1"/>
        </w:numPr>
        <w:spacing w:after="148"/>
        <w:contextualSpacing/>
        <w:rPr>
          <w:rFonts w:ascii="Verdana" w:hAnsi="Verdana"/>
          <w:sz w:val="21"/>
          <w:szCs w:val="21"/>
        </w:rPr>
      </w:pPr>
      <w:r w:rsidRPr="00115A5B">
        <w:rPr>
          <w:rFonts w:ascii="Verdana" w:hAnsi="Verdana"/>
          <w:sz w:val="21"/>
          <w:szCs w:val="21"/>
        </w:rPr>
        <w:t>Is an expedited</w:t>
      </w:r>
      <w:r w:rsidR="009706EA">
        <w:rPr>
          <w:rFonts w:ascii="Verdana" w:hAnsi="Verdana"/>
          <w:sz w:val="21"/>
          <w:szCs w:val="21"/>
        </w:rPr>
        <w:t>, voluntary,</w:t>
      </w:r>
      <w:r w:rsidRPr="00115A5B">
        <w:rPr>
          <w:rFonts w:ascii="Verdana" w:hAnsi="Verdana"/>
          <w:sz w:val="21"/>
          <w:szCs w:val="21"/>
        </w:rPr>
        <w:t xml:space="preserve"> and confidential evaluative process designed to facil</w:t>
      </w:r>
      <w:r w:rsidR="00115A5B" w:rsidRPr="00115A5B">
        <w:rPr>
          <w:rFonts w:ascii="Verdana" w:hAnsi="Verdana"/>
          <w:sz w:val="21"/>
          <w:szCs w:val="21"/>
        </w:rPr>
        <w:t>itate prompt dispute resolution of financial issues</w:t>
      </w:r>
      <w:r w:rsidR="00531045" w:rsidRPr="00115A5B">
        <w:rPr>
          <w:rFonts w:ascii="Verdana" w:hAnsi="Verdana"/>
          <w:sz w:val="21"/>
          <w:szCs w:val="21"/>
        </w:rPr>
        <w:t xml:space="preserve">, </w:t>
      </w:r>
      <w:r w:rsidRPr="00115A5B">
        <w:rPr>
          <w:rFonts w:ascii="Verdana" w:hAnsi="Verdana"/>
          <w:sz w:val="21"/>
          <w:szCs w:val="21"/>
        </w:rPr>
        <w:t>such as</w:t>
      </w:r>
      <w:r w:rsidR="00724879">
        <w:rPr>
          <w:rFonts w:ascii="Verdana" w:hAnsi="Verdana"/>
          <w:sz w:val="21"/>
          <w:szCs w:val="21"/>
        </w:rPr>
        <w:t xml:space="preserve"> property, debt</w:t>
      </w:r>
      <w:r w:rsidR="00531045" w:rsidRPr="00115A5B">
        <w:rPr>
          <w:rFonts w:ascii="Verdana" w:hAnsi="Verdana"/>
          <w:sz w:val="21"/>
          <w:szCs w:val="21"/>
        </w:rPr>
        <w:t xml:space="preserve">, child support, and spousal maintenance. </w:t>
      </w:r>
    </w:p>
    <w:p w:rsidR="00115A5B" w:rsidRPr="00115A5B" w:rsidRDefault="00115A5B" w:rsidP="00115A5B">
      <w:pPr>
        <w:pStyle w:val="Default"/>
        <w:spacing w:after="148"/>
        <w:contextualSpacing/>
        <w:rPr>
          <w:rFonts w:ascii="Verdana" w:hAnsi="Verdana"/>
          <w:sz w:val="21"/>
          <w:szCs w:val="21"/>
        </w:rPr>
      </w:pPr>
    </w:p>
    <w:p w:rsidR="00115A5B" w:rsidRDefault="00115A5B" w:rsidP="00115A5B">
      <w:pPr>
        <w:pStyle w:val="Default"/>
        <w:numPr>
          <w:ilvl w:val="0"/>
          <w:numId w:val="1"/>
        </w:numPr>
        <w:spacing w:after="148"/>
        <w:contextualSpacing/>
        <w:rPr>
          <w:rFonts w:ascii="Verdana" w:hAnsi="Verdana"/>
          <w:sz w:val="21"/>
          <w:szCs w:val="21"/>
        </w:rPr>
      </w:pPr>
      <w:r w:rsidRPr="00115A5B">
        <w:rPr>
          <w:rFonts w:ascii="Verdana" w:hAnsi="Verdana"/>
          <w:sz w:val="21"/>
          <w:szCs w:val="21"/>
        </w:rPr>
        <w:t xml:space="preserve">May </w:t>
      </w:r>
      <w:r w:rsidR="009706EA">
        <w:rPr>
          <w:rFonts w:ascii="Verdana" w:hAnsi="Verdana"/>
          <w:sz w:val="21"/>
          <w:szCs w:val="21"/>
        </w:rPr>
        <w:t xml:space="preserve">only </w:t>
      </w:r>
      <w:r w:rsidRPr="00115A5B">
        <w:rPr>
          <w:rFonts w:ascii="Verdana" w:hAnsi="Verdana"/>
          <w:sz w:val="21"/>
          <w:szCs w:val="21"/>
        </w:rPr>
        <w:t>be ordered by the Court at the I</w:t>
      </w:r>
      <w:r w:rsidR="00724879">
        <w:rPr>
          <w:rFonts w:ascii="Verdana" w:hAnsi="Verdana"/>
          <w:sz w:val="21"/>
          <w:szCs w:val="21"/>
        </w:rPr>
        <w:t>nitial Case Management Conference</w:t>
      </w:r>
      <w:r w:rsidRPr="00115A5B">
        <w:rPr>
          <w:rFonts w:ascii="Verdana" w:hAnsi="Verdana"/>
          <w:sz w:val="21"/>
          <w:szCs w:val="21"/>
        </w:rPr>
        <w:t xml:space="preserve">. </w:t>
      </w:r>
    </w:p>
    <w:p w:rsidR="00115A5B" w:rsidRPr="00115A5B" w:rsidRDefault="00115A5B" w:rsidP="00115A5B">
      <w:pPr>
        <w:pStyle w:val="Default"/>
        <w:spacing w:after="148"/>
        <w:contextualSpacing/>
        <w:rPr>
          <w:rFonts w:ascii="Verdana" w:hAnsi="Verdana"/>
          <w:sz w:val="21"/>
          <w:szCs w:val="21"/>
        </w:rPr>
      </w:pPr>
    </w:p>
    <w:p w:rsidR="00EF4E5E" w:rsidRPr="00115A5B" w:rsidRDefault="00EF4E5E" w:rsidP="00115A5B">
      <w:pPr>
        <w:pStyle w:val="Default"/>
        <w:numPr>
          <w:ilvl w:val="0"/>
          <w:numId w:val="1"/>
        </w:numPr>
        <w:contextualSpacing/>
        <w:rPr>
          <w:rFonts w:ascii="Verdana" w:hAnsi="Verdana"/>
          <w:sz w:val="21"/>
          <w:szCs w:val="21"/>
        </w:rPr>
      </w:pPr>
      <w:r w:rsidRPr="00115A5B">
        <w:rPr>
          <w:rFonts w:ascii="Verdana" w:hAnsi="Verdana"/>
          <w:sz w:val="21"/>
          <w:szCs w:val="21"/>
        </w:rPr>
        <w:t>Offers the evaluative impressions of an experience</w:t>
      </w:r>
      <w:r w:rsidR="00724879">
        <w:rPr>
          <w:rFonts w:ascii="Verdana" w:hAnsi="Verdana"/>
          <w:sz w:val="21"/>
          <w:szCs w:val="21"/>
        </w:rPr>
        <w:t>d</w:t>
      </w:r>
      <w:r w:rsidRPr="00115A5B">
        <w:rPr>
          <w:rFonts w:ascii="Verdana" w:hAnsi="Verdana"/>
          <w:sz w:val="21"/>
          <w:szCs w:val="21"/>
        </w:rPr>
        <w:t xml:space="preserve"> attorney or accountant to </w:t>
      </w:r>
      <w:r w:rsidR="00724879">
        <w:rPr>
          <w:rFonts w:ascii="Verdana" w:hAnsi="Verdana"/>
          <w:sz w:val="21"/>
          <w:szCs w:val="21"/>
        </w:rPr>
        <w:t xml:space="preserve">the </w:t>
      </w:r>
      <w:r w:rsidRPr="00115A5B">
        <w:rPr>
          <w:rFonts w:ascii="Verdana" w:hAnsi="Verdana"/>
          <w:sz w:val="21"/>
          <w:szCs w:val="21"/>
        </w:rPr>
        <w:t>parties based on case presentations and a limited amount of information gathered at the FENE session.</w:t>
      </w:r>
    </w:p>
    <w:p w:rsidR="00EF4E5E" w:rsidRPr="00EF4E5E" w:rsidRDefault="00EF4E5E" w:rsidP="00EF4E5E">
      <w:pPr>
        <w:pStyle w:val="Default"/>
        <w:spacing w:line="360" w:lineRule="auto"/>
        <w:ind w:left="360"/>
        <w:contextualSpacing/>
        <w:rPr>
          <w:rFonts w:ascii="Verdana" w:hAnsi="Verdana"/>
          <w:sz w:val="21"/>
          <w:szCs w:val="21"/>
        </w:rPr>
      </w:pPr>
    </w:p>
    <w:p w:rsidR="00EF4E5E" w:rsidRPr="00216A60" w:rsidRDefault="00EF4E5E" w:rsidP="00EF4E5E">
      <w:pPr>
        <w:pStyle w:val="Default"/>
        <w:rPr>
          <w:rFonts w:ascii="Verdana" w:hAnsi="Verdana"/>
          <w:sz w:val="21"/>
          <w:szCs w:val="21"/>
        </w:rPr>
      </w:pPr>
      <w:r w:rsidRPr="00216A60">
        <w:rPr>
          <w:rFonts w:ascii="Verdana" w:hAnsi="Verdana"/>
          <w:b/>
          <w:bCs/>
          <w:sz w:val="21"/>
          <w:szCs w:val="21"/>
        </w:rPr>
        <w:t xml:space="preserve">BENEFITS OF AN FENE: </w:t>
      </w:r>
      <w:r w:rsidR="00724879">
        <w:rPr>
          <w:rFonts w:ascii="Verdana" w:hAnsi="Verdana"/>
          <w:b/>
          <w:bCs/>
          <w:sz w:val="21"/>
          <w:szCs w:val="21"/>
        </w:rPr>
        <w:br/>
      </w:r>
    </w:p>
    <w:p w:rsidR="00EF4E5E" w:rsidRDefault="00EF4E5E" w:rsidP="00115A5B">
      <w:pPr>
        <w:pStyle w:val="Default"/>
        <w:numPr>
          <w:ilvl w:val="0"/>
          <w:numId w:val="3"/>
        </w:numPr>
        <w:spacing w:after="146"/>
        <w:contextualSpacing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Both parties</w:t>
      </w:r>
      <w:r w:rsidRPr="00216A60">
        <w:rPr>
          <w:rFonts w:ascii="Verdana" w:hAnsi="Verdana"/>
          <w:sz w:val="21"/>
          <w:szCs w:val="21"/>
        </w:rPr>
        <w:t xml:space="preserve"> will hear a neutral opinion </w:t>
      </w:r>
      <w:r>
        <w:rPr>
          <w:rFonts w:ascii="Verdana" w:hAnsi="Verdana"/>
          <w:sz w:val="21"/>
          <w:szCs w:val="21"/>
        </w:rPr>
        <w:t>from an experience</w:t>
      </w:r>
      <w:r w:rsidR="00724879">
        <w:rPr>
          <w:rFonts w:ascii="Verdana" w:hAnsi="Verdana"/>
          <w:sz w:val="21"/>
          <w:szCs w:val="21"/>
        </w:rPr>
        <w:t>d</w:t>
      </w:r>
      <w:r>
        <w:rPr>
          <w:rFonts w:ascii="Verdana" w:hAnsi="Verdana"/>
          <w:sz w:val="21"/>
          <w:szCs w:val="21"/>
        </w:rPr>
        <w:t xml:space="preserve"> professional as to each party’s likelihood of success at trial</w:t>
      </w:r>
      <w:r w:rsidRPr="00216A60">
        <w:rPr>
          <w:rFonts w:ascii="Verdana" w:hAnsi="Verdana"/>
          <w:sz w:val="21"/>
          <w:szCs w:val="21"/>
        </w:rPr>
        <w:t xml:space="preserve">. </w:t>
      </w:r>
    </w:p>
    <w:p w:rsidR="00115A5B" w:rsidRPr="00216A60" w:rsidRDefault="00115A5B" w:rsidP="00115A5B">
      <w:pPr>
        <w:pStyle w:val="Default"/>
        <w:spacing w:after="146"/>
        <w:ind w:left="360"/>
        <w:contextualSpacing/>
        <w:rPr>
          <w:rFonts w:ascii="Verdana" w:hAnsi="Verdana"/>
          <w:sz w:val="21"/>
          <w:szCs w:val="21"/>
        </w:rPr>
      </w:pPr>
    </w:p>
    <w:p w:rsidR="00EF4E5E" w:rsidRDefault="00EF4E5E" w:rsidP="00115A5B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FENE helps parties focus on the issues </w:t>
      </w:r>
      <w:r w:rsidR="00724879">
        <w:rPr>
          <w:rFonts w:ascii="Verdana" w:hAnsi="Verdana"/>
          <w:sz w:val="21"/>
          <w:szCs w:val="21"/>
        </w:rPr>
        <w:t>of the case</w:t>
      </w:r>
      <w:r>
        <w:rPr>
          <w:rFonts w:ascii="Verdana" w:hAnsi="Verdana"/>
          <w:sz w:val="21"/>
          <w:szCs w:val="21"/>
        </w:rPr>
        <w:t xml:space="preserve"> in a </w:t>
      </w:r>
      <w:r w:rsidR="00DA69AB">
        <w:rPr>
          <w:rFonts w:ascii="Verdana" w:hAnsi="Verdana"/>
          <w:sz w:val="21"/>
          <w:szCs w:val="21"/>
        </w:rPr>
        <w:t>confidential, non-confrontation</w:t>
      </w:r>
      <w:r w:rsidR="000C1A97">
        <w:rPr>
          <w:rFonts w:ascii="Verdana" w:hAnsi="Verdana"/>
          <w:sz w:val="21"/>
          <w:szCs w:val="21"/>
        </w:rPr>
        <w:t>al</w:t>
      </w:r>
      <w:r>
        <w:rPr>
          <w:rFonts w:ascii="Verdana" w:hAnsi="Verdana"/>
          <w:sz w:val="21"/>
          <w:szCs w:val="21"/>
        </w:rPr>
        <w:t>, and settlement-orient</w:t>
      </w:r>
      <w:r w:rsidR="00115A5B">
        <w:rPr>
          <w:rFonts w:ascii="Verdana" w:hAnsi="Verdana"/>
          <w:sz w:val="21"/>
          <w:szCs w:val="21"/>
        </w:rPr>
        <w:t>ed environment.</w:t>
      </w:r>
    </w:p>
    <w:p w:rsidR="00115A5B" w:rsidRDefault="00115A5B" w:rsidP="00115A5B">
      <w:pPr>
        <w:pStyle w:val="Default"/>
        <w:rPr>
          <w:rFonts w:ascii="Verdana" w:hAnsi="Verdana"/>
          <w:sz w:val="21"/>
          <w:szCs w:val="21"/>
        </w:rPr>
      </w:pPr>
    </w:p>
    <w:p w:rsidR="00EF4E5E" w:rsidRPr="00216A60" w:rsidRDefault="00EF4E5E" w:rsidP="00115A5B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Cases can be resolved quickly and can save money in attorneys’ fees and court costs.</w:t>
      </w:r>
      <w:r w:rsidRPr="00216A60">
        <w:rPr>
          <w:rFonts w:ascii="Verdana" w:hAnsi="Verdana"/>
          <w:sz w:val="21"/>
          <w:szCs w:val="21"/>
        </w:rPr>
        <w:t xml:space="preserve"> </w:t>
      </w:r>
    </w:p>
    <w:p w:rsidR="00EF4E5E" w:rsidRDefault="00EF4E5E" w:rsidP="00531045">
      <w:pPr>
        <w:pStyle w:val="Default"/>
        <w:rPr>
          <w:rFonts w:ascii="Verdana" w:hAnsi="Verdana"/>
          <w:b/>
          <w:bCs/>
          <w:sz w:val="21"/>
          <w:szCs w:val="21"/>
        </w:rPr>
      </w:pPr>
    </w:p>
    <w:p w:rsidR="00531045" w:rsidRPr="00216A60" w:rsidRDefault="00531045" w:rsidP="00531045">
      <w:pPr>
        <w:pStyle w:val="Default"/>
        <w:rPr>
          <w:rFonts w:ascii="Verdana" w:hAnsi="Verdana"/>
          <w:sz w:val="21"/>
          <w:szCs w:val="21"/>
        </w:rPr>
      </w:pPr>
      <w:r w:rsidRPr="00216A60">
        <w:rPr>
          <w:rFonts w:ascii="Verdana" w:hAnsi="Verdana"/>
          <w:b/>
          <w:bCs/>
          <w:sz w:val="21"/>
          <w:szCs w:val="21"/>
        </w:rPr>
        <w:t xml:space="preserve">THE FENE PROCESS: </w:t>
      </w:r>
      <w:r w:rsidR="00724879">
        <w:rPr>
          <w:rFonts w:ascii="Verdana" w:hAnsi="Verdana"/>
          <w:b/>
          <w:bCs/>
          <w:sz w:val="21"/>
          <w:szCs w:val="21"/>
        </w:rPr>
        <w:br/>
      </w:r>
    </w:p>
    <w:p w:rsidR="00DA69AB" w:rsidRDefault="000C1A97" w:rsidP="00115A5B">
      <w:pPr>
        <w:pStyle w:val="Default"/>
        <w:numPr>
          <w:ilvl w:val="0"/>
          <w:numId w:val="2"/>
        </w:numPr>
        <w:spacing w:after="146"/>
        <w:contextualSpacing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An experienced attorney or accountant (“the evaluator”) is assigned to the case. </w:t>
      </w:r>
      <w:r w:rsidR="00531045" w:rsidRPr="00216A60">
        <w:rPr>
          <w:rFonts w:ascii="Verdana" w:hAnsi="Verdana"/>
          <w:sz w:val="21"/>
          <w:szCs w:val="21"/>
        </w:rPr>
        <w:t xml:space="preserve">The first meeting with the evaluator typically occurs within </w:t>
      </w:r>
      <w:r w:rsidR="002342AF">
        <w:rPr>
          <w:rFonts w:ascii="Verdana" w:hAnsi="Verdana"/>
          <w:sz w:val="21"/>
          <w:szCs w:val="21"/>
        </w:rPr>
        <w:t>30</w:t>
      </w:r>
      <w:r w:rsidR="00724879">
        <w:rPr>
          <w:rFonts w:ascii="Verdana" w:hAnsi="Verdana"/>
          <w:sz w:val="21"/>
          <w:szCs w:val="21"/>
        </w:rPr>
        <w:t>-60</w:t>
      </w:r>
      <w:r w:rsidR="002342AF">
        <w:rPr>
          <w:rFonts w:ascii="Verdana" w:hAnsi="Verdana"/>
          <w:sz w:val="21"/>
          <w:szCs w:val="21"/>
        </w:rPr>
        <w:t xml:space="preserve"> </w:t>
      </w:r>
      <w:r w:rsidR="00724879">
        <w:rPr>
          <w:rFonts w:ascii="Verdana" w:hAnsi="Verdana"/>
          <w:sz w:val="21"/>
          <w:szCs w:val="21"/>
        </w:rPr>
        <w:t xml:space="preserve">days of </w:t>
      </w:r>
      <w:r>
        <w:rPr>
          <w:rFonts w:ascii="Verdana" w:hAnsi="Verdana"/>
          <w:sz w:val="21"/>
          <w:szCs w:val="21"/>
        </w:rPr>
        <w:t>the ICMC</w:t>
      </w:r>
      <w:r w:rsidR="00531045" w:rsidRPr="00216A60">
        <w:rPr>
          <w:rFonts w:ascii="Verdana" w:hAnsi="Verdana"/>
          <w:sz w:val="21"/>
          <w:szCs w:val="21"/>
        </w:rPr>
        <w:t xml:space="preserve">. </w:t>
      </w:r>
      <w:r w:rsidR="00DA69AB" w:rsidRPr="00115A5B">
        <w:rPr>
          <w:rFonts w:ascii="Verdana" w:hAnsi="Verdana"/>
          <w:sz w:val="21"/>
          <w:szCs w:val="21"/>
        </w:rPr>
        <w:t>The parties</w:t>
      </w:r>
      <w:r w:rsidR="00531045" w:rsidRPr="00115A5B">
        <w:rPr>
          <w:rFonts w:ascii="Verdana" w:hAnsi="Verdana"/>
          <w:sz w:val="21"/>
          <w:szCs w:val="21"/>
        </w:rPr>
        <w:t xml:space="preserve"> will </w:t>
      </w:r>
      <w:r>
        <w:rPr>
          <w:rFonts w:ascii="Verdana" w:hAnsi="Verdana"/>
          <w:sz w:val="21"/>
          <w:szCs w:val="21"/>
        </w:rPr>
        <w:t>present the important financial issues in the case to the evaluator.</w:t>
      </w:r>
    </w:p>
    <w:p w:rsidR="00115A5B" w:rsidRPr="00115A5B" w:rsidRDefault="00115A5B" w:rsidP="00115A5B">
      <w:pPr>
        <w:pStyle w:val="Default"/>
        <w:spacing w:after="146"/>
        <w:ind w:left="360"/>
        <w:contextualSpacing/>
        <w:rPr>
          <w:rFonts w:ascii="Verdana" w:hAnsi="Verdana"/>
          <w:sz w:val="21"/>
          <w:szCs w:val="21"/>
        </w:rPr>
      </w:pPr>
    </w:p>
    <w:p w:rsidR="00216A60" w:rsidRDefault="00DA69AB" w:rsidP="00115A5B">
      <w:pPr>
        <w:pStyle w:val="Default"/>
        <w:numPr>
          <w:ilvl w:val="0"/>
          <w:numId w:val="2"/>
        </w:numPr>
        <w:contextualSpacing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parties may meet</w:t>
      </w:r>
      <w:r w:rsidR="00531045" w:rsidRPr="00216A60">
        <w:rPr>
          <w:rFonts w:ascii="Verdana" w:hAnsi="Verdana"/>
          <w:sz w:val="21"/>
          <w:szCs w:val="21"/>
        </w:rPr>
        <w:t xml:space="preserve"> with the evaluator</w:t>
      </w:r>
      <w:r>
        <w:rPr>
          <w:rFonts w:ascii="Verdana" w:hAnsi="Verdana"/>
          <w:sz w:val="21"/>
          <w:szCs w:val="21"/>
        </w:rPr>
        <w:t xml:space="preserve"> for one or more sessions</w:t>
      </w:r>
      <w:r w:rsidR="00531045" w:rsidRPr="00216A60">
        <w:rPr>
          <w:rFonts w:ascii="Verdana" w:hAnsi="Verdana"/>
          <w:sz w:val="21"/>
          <w:szCs w:val="21"/>
        </w:rPr>
        <w:t xml:space="preserve">. </w:t>
      </w:r>
      <w:r w:rsidR="00724879">
        <w:rPr>
          <w:rFonts w:ascii="Verdana" w:hAnsi="Verdana"/>
          <w:sz w:val="21"/>
          <w:szCs w:val="21"/>
        </w:rPr>
        <w:t>The evaluator</w:t>
      </w:r>
      <w:r>
        <w:rPr>
          <w:rFonts w:ascii="Verdana" w:hAnsi="Verdana"/>
          <w:sz w:val="21"/>
          <w:szCs w:val="21"/>
        </w:rPr>
        <w:t xml:space="preserve"> </w:t>
      </w:r>
      <w:r w:rsidR="000C1A97">
        <w:rPr>
          <w:rFonts w:ascii="Verdana" w:hAnsi="Verdana"/>
          <w:sz w:val="21"/>
          <w:szCs w:val="21"/>
        </w:rPr>
        <w:t xml:space="preserve">will </w:t>
      </w:r>
      <w:r>
        <w:rPr>
          <w:rFonts w:ascii="Verdana" w:hAnsi="Verdana"/>
          <w:sz w:val="21"/>
          <w:szCs w:val="21"/>
        </w:rPr>
        <w:t>provide immediate feedback about the parties’ case, and settlement possibilitie</w:t>
      </w:r>
      <w:r w:rsidR="00115A5B">
        <w:rPr>
          <w:rFonts w:ascii="Verdana" w:hAnsi="Verdana"/>
          <w:sz w:val="21"/>
          <w:szCs w:val="21"/>
        </w:rPr>
        <w:t xml:space="preserve">s </w:t>
      </w:r>
      <w:r w:rsidR="000C1A97">
        <w:rPr>
          <w:rFonts w:ascii="Verdana" w:hAnsi="Verdana"/>
          <w:sz w:val="21"/>
          <w:szCs w:val="21"/>
        </w:rPr>
        <w:t>will be</w:t>
      </w:r>
      <w:r>
        <w:rPr>
          <w:rFonts w:ascii="Verdana" w:hAnsi="Verdana"/>
          <w:sz w:val="21"/>
          <w:szCs w:val="21"/>
        </w:rPr>
        <w:t xml:space="preserve"> </w:t>
      </w:r>
      <w:r w:rsidR="009706EA">
        <w:rPr>
          <w:rFonts w:ascii="Verdana" w:hAnsi="Verdana"/>
          <w:sz w:val="21"/>
          <w:szCs w:val="21"/>
        </w:rPr>
        <w:t>explored</w:t>
      </w:r>
      <w:r>
        <w:rPr>
          <w:rFonts w:ascii="Verdana" w:hAnsi="Verdana"/>
          <w:sz w:val="21"/>
          <w:szCs w:val="21"/>
        </w:rPr>
        <w:t>.</w:t>
      </w:r>
      <w:r w:rsidR="00531045" w:rsidRPr="00216A60">
        <w:rPr>
          <w:rFonts w:ascii="Verdana" w:hAnsi="Verdana"/>
          <w:sz w:val="21"/>
          <w:szCs w:val="21"/>
        </w:rPr>
        <w:t xml:space="preserve"> </w:t>
      </w:r>
    </w:p>
    <w:p w:rsidR="00115A5B" w:rsidRDefault="00115A5B" w:rsidP="00115A5B">
      <w:pPr>
        <w:pStyle w:val="Default"/>
        <w:contextualSpacing/>
        <w:rPr>
          <w:rFonts w:ascii="Verdana" w:hAnsi="Verdana"/>
          <w:sz w:val="21"/>
          <w:szCs w:val="21"/>
        </w:rPr>
      </w:pPr>
    </w:p>
    <w:p w:rsidR="002342AF" w:rsidRDefault="002342AF" w:rsidP="00115A5B">
      <w:pPr>
        <w:pStyle w:val="Default"/>
        <w:numPr>
          <w:ilvl w:val="0"/>
          <w:numId w:val="2"/>
        </w:numPr>
        <w:contextualSpacing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evaluator m</w:t>
      </w:r>
      <w:r w:rsidR="004953DE">
        <w:rPr>
          <w:rFonts w:ascii="Verdana" w:hAnsi="Verdana"/>
          <w:sz w:val="21"/>
          <w:szCs w:val="21"/>
        </w:rPr>
        <w:t xml:space="preserve">ay not be called as a witness. </w:t>
      </w:r>
      <w:r>
        <w:rPr>
          <w:rFonts w:ascii="Verdana" w:hAnsi="Verdana"/>
          <w:sz w:val="21"/>
          <w:szCs w:val="21"/>
        </w:rPr>
        <w:t xml:space="preserve">The recommendations of the evaluator and any statements of settlement or compromise made in the FENE process are confidential and </w:t>
      </w:r>
      <w:r w:rsidR="009706EA">
        <w:rPr>
          <w:rFonts w:ascii="Verdana" w:hAnsi="Verdana"/>
          <w:sz w:val="21"/>
          <w:szCs w:val="21"/>
        </w:rPr>
        <w:t>may not be communicated to the court</w:t>
      </w:r>
      <w:r>
        <w:rPr>
          <w:rFonts w:ascii="Verdana" w:hAnsi="Verdana"/>
          <w:sz w:val="21"/>
          <w:szCs w:val="21"/>
        </w:rPr>
        <w:t>.</w:t>
      </w:r>
      <w:r w:rsidR="009706EA">
        <w:rPr>
          <w:rFonts w:ascii="Verdana" w:hAnsi="Verdana"/>
          <w:sz w:val="21"/>
          <w:szCs w:val="21"/>
        </w:rPr>
        <w:t xml:space="preserve"> </w:t>
      </w:r>
      <w:r w:rsidR="009706EA" w:rsidRPr="00E329A8">
        <w:rPr>
          <w:rFonts w:ascii="Verdana" w:hAnsi="Verdana"/>
          <w:sz w:val="21"/>
          <w:szCs w:val="21"/>
        </w:rPr>
        <w:t xml:space="preserve">The </w:t>
      </w:r>
      <w:r w:rsidR="009706EA">
        <w:rPr>
          <w:rFonts w:ascii="Verdana" w:hAnsi="Verdana"/>
          <w:sz w:val="21"/>
          <w:szCs w:val="21"/>
        </w:rPr>
        <w:t>evaluator</w:t>
      </w:r>
      <w:r w:rsidR="009706EA" w:rsidRPr="00E329A8">
        <w:rPr>
          <w:rFonts w:ascii="Verdana" w:hAnsi="Verdana"/>
          <w:sz w:val="21"/>
          <w:szCs w:val="21"/>
        </w:rPr>
        <w:t xml:space="preserve"> may communicate with the court during the </w:t>
      </w:r>
      <w:r w:rsidR="009706EA">
        <w:rPr>
          <w:rFonts w:ascii="Verdana" w:hAnsi="Verdana"/>
          <w:sz w:val="21"/>
          <w:szCs w:val="21"/>
        </w:rPr>
        <w:t>F</w:t>
      </w:r>
      <w:r w:rsidR="009706EA" w:rsidRPr="00E329A8">
        <w:rPr>
          <w:rFonts w:ascii="Verdana" w:hAnsi="Verdana"/>
          <w:sz w:val="21"/>
          <w:szCs w:val="21"/>
        </w:rPr>
        <w:t>ENE for the limited purpose of facilitating case management, and obtaining direction from the court on how to address issues that may require further assessment. If a full or partial settlement is reached, the evaluators will notify the court of the same.</w:t>
      </w:r>
      <w:r w:rsidR="00216A60" w:rsidRPr="00216A60">
        <w:rPr>
          <w:rFonts w:ascii="Verdana" w:hAnsi="Verdana"/>
          <w:sz w:val="21"/>
          <w:szCs w:val="21"/>
        </w:rPr>
        <w:t xml:space="preserve"> </w:t>
      </w:r>
    </w:p>
    <w:p w:rsidR="00115A5B" w:rsidRDefault="00115A5B" w:rsidP="00115A5B">
      <w:pPr>
        <w:pStyle w:val="Default"/>
        <w:contextualSpacing/>
        <w:rPr>
          <w:rFonts w:ascii="Verdana" w:hAnsi="Verdana"/>
          <w:sz w:val="21"/>
          <w:szCs w:val="21"/>
        </w:rPr>
      </w:pPr>
    </w:p>
    <w:p w:rsidR="00C356B9" w:rsidRDefault="004953DE" w:rsidP="004953DE">
      <w:pPr>
        <w:pStyle w:val="Default"/>
        <w:numPr>
          <w:ilvl w:val="0"/>
          <w:numId w:val="2"/>
        </w:numPr>
        <w:contextualSpacing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the case does not settle through the FENE process, the evaluator may </w:t>
      </w:r>
      <w:r w:rsidR="00724879">
        <w:rPr>
          <w:rFonts w:ascii="Verdana" w:hAnsi="Verdana"/>
          <w:sz w:val="21"/>
          <w:szCs w:val="21"/>
        </w:rPr>
        <w:t>identify important issues that require</w:t>
      </w:r>
      <w:r>
        <w:rPr>
          <w:rFonts w:ascii="Verdana" w:hAnsi="Verdana"/>
          <w:sz w:val="21"/>
          <w:szCs w:val="21"/>
        </w:rPr>
        <w:t xml:space="preserve"> additional study.</w:t>
      </w:r>
      <w:r w:rsidR="00762245">
        <w:rPr>
          <w:rFonts w:ascii="Verdana" w:hAnsi="Verdana"/>
          <w:sz w:val="21"/>
          <w:szCs w:val="21"/>
        </w:rPr>
        <w:t xml:space="preserve"> The evaluator will inform the c</w:t>
      </w:r>
      <w:r>
        <w:rPr>
          <w:rFonts w:ascii="Verdana" w:hAnsi="Verdana"/>
          <w:sz w:val="21"/>
          <w:szCs w:val="21"/>
        </w:rPr>
        <w:t xml:space="preserve">ourt that the case did not settle, but </w:t>
      </w:r>
      <w:r w:rsidR="00216A60" w:rsidRPr="002342AF">
        <w:rPr>
          <w:rFonts w:ascii="Verdana" w:hAnsi="Verdana"/>
          <w:i/>
          <w:iCs/>
          <w:sz w:val="21"/>
          <w:szCs w:val="21"/>
        </w:rPr>
        <w:t xml:space="preserve">will not </w:t>
      </w:r>
      <w:r w:rsidR="00216A60" w:rsidRPr="002342AF">
        <w:rPr>
          <w:rFonts w:ascii="Verdana" w:hAnsi="Verdana"/>
          <w:sz w:val="21"/>
          <w:szCs w:val="21"/>
        </w:rPr>
        <w:t xml:space="preserve">report </w:t>
      </w:r>
      <w:r w:rsidR="00762245">
        <w:rPr>
          <w:rFonts w:ascii="Verdana" w:hAnsi="Verdana"/>
          <w:sz w:val="21"/>
          <w:szCs w:val="21"/>
        </w:rPr>
        <w:t>the content of the FENE to the c</w:t>
      </w:r>
      <w:r w:rsidR="00216A60" w:rsidRPr="002342AF">
        <w:rPr>
          <w:rFonts w:ascii="Verdana" w:hAnsi="Verdana"/>
          <w:sz w:val="21"/>
          <w:szCs w:val="21"/>
        </w:rPr>
        <w:t xml:space="preserve">ourt. With </w:t>
      </w:r>
      <w:r>
        <w:rPr>
          <w:rFonts w:ascii="Verdana" w:hAnsi="Verdana"/>
          <w:sz w:val="21"/>
          <w:szCs w:val="21"/>
        </w:rPr>
        <w:t>the parties’ written consent</w:t>
      </w:r>
      <w:r w:rsidR="00216A60" w:rsidRPr="002342AF">
        <w:rPr>
          <w:rFonts w:ascii="Verdana" w:hAnsi="Verdana"/>
          <w:sz w:val="21"/>
          <w:szCs w:val="21"/>
        </w:rPr>
        <w:t xml:space="preserve">, the evaluator may suggest </w:t>
      </w:r>
      <w:r>
        <w:rPr>
          <w:rFonts w:ascii="Verdana" w:hAnsi="Verdana"/>
          <w:sz w:val="21"/>
          <w:szCs w:val="21"/>
        </w:rPr>
        <w:t>another ADR process</w:t>
      </w:r>
      <w:r w:rsidR="00216A60" w:rsidRPr="002342AF">
        <w:rPr>
          <w:rFonts w:ascii="Verdana" w:hAnsi="Verdana"/>
          <w:sz w:val="21"/>
          <w:szCs w:val="21"/>
        </w:rPr>
        <w:t xml:space="preserve"> </w:t>
      </w:r>
      <w:r w:rsidR="00762245">
        <w:rPr>
          <w:rFonts w:ascii="Verdana" w:hAnsi="Verdana"/>
          <w:sz w:val="21"/>
          <w:szCs w:val="21"/>
        </w:rPr>
        <w:t>to the court</w:t>
      </w:r>
      <w:r w:rsidR="00724879">
        <w:rPr>
          <w:rFonts w:ascii="Verdana" w:hAnsi="Verdana"/>
          <w:sz w:val="21"/>
          <w:szCs w:val="21"/>
        </w:rPr>
        <w:t>.</w:t>
      </w:r>
    </w:p>
    <w:p w:rsidR="004953DE" w:rsidRPr="004953DE" w:rsidRDefault="004953DE" w:rsidP="004953DE">
      <w:pPr>
        <w:pStyle w:val="Default"/>
        <w:contextualSpacing/>
        <w:rPr>
          <w:rFonts w:ascii="Verdana" w:hAnsi="Verdana"/>
          <w:sz w:val="21"/>
          <w:szCs w:val="21"/>
        </w:rPr>
      </w:pPr>
    </w:p>
    <w:p w:rsidR="009C209C" w:rsidRPr="00C356B9" w:rsidRDefault="00216A60" w:rsidP="00115A5B">
      <w:pPr>
        <w:pStyle w:val="Default"/>
        <w:numPr>
          <w:ilvl w:val="0"/>
          <w:numId w:val="2"/>
        </w:numPr>
        <w:contextualSpacing/>
        <w:rPr>
          <w:rFonts w:ascii="Verdana" w:hAnsi="Verdana"/>
          <w:sz w:val="21"/>
          <w:szCs w:val="21"/>
        </w:rPr>
      </w:pPr>
      <w:r w:rsidRPr="00C356B9">
        <w:rPr>
          <w:rFonts w:ascii="Verdana" w:hAnsi="Verdana"/>
          <w:sz w:val="21"/>
          <w:szCs w:val="21"/>
        </w:rPr>
        <w:t xml:space="preserve">If the FENE is unsuccessful, </w:t>
      </w:r>
      <w:r w:rsidR="00724879">
        <w:rPr>
          <w:rFonts w:ascii="Verdana" w:hAnsi="Verdana"/>
          <w:sz w:val="21"/>
          <w:szCs w:val="21"/>
        </w:rPr>
        <w:t>a scheduling order will be issued by the court.</w:t>
      </w:r>
    </w:p>
    <w:sectPr w:rsidR="009C209C" w:rsidRPr="00C356B9" w:rsidSect="000C1A97">
      <w:pgSz w:w="12240" w:h="16340"/>
      <w:pgMar w:top="1296" w:right="1296" w:bottom="1296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BC1"/>
    <w:multiLevelType w:val="hybridMultilevel"/>
    <w:tmpl w:val="46188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BF5C17"/>
    <w:multiLevelType w:val="hybridMultilevel"/>
    <w:tmpl w:val="A476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35663"/>
    <w:multiLevelType w:val="hybridMultilevel"/>
    <w:tmpl w:val="DA4E8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1434E7"/>
    <w:multiLevelType w:val="hybridMultilevel"/>
    <w:tmpl w:val="E12CD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45"/>
    <w:rsid w:val="00096D02"/>
    <w:rsid w:val="000C1A97"/>
    <w:rsid w:val="00115A5B"/>
    <w:rsid w:val="00216A60"/>
    <w:rsid w:val="002342AF"/>
    <w:rsid w:val="004953DE"/>
    <w:rsid w:val="00531045"/>
    <w:rsid w:val="00724879"/>
    <w:rsid w:val="00762245"/>
    <w:rsid w:val="0082546A"/>
    <w:rsid w:val="0085011D"/>
    <w:rsid w:val="00964EE3"/>
    <w:rsid w:val="009706EA"/>
    <w:rsid w:val="009C209C"/>
    <w:rsid w:val="00C356B9"/>
    <w:rsid w:val="00DA69AB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1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1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Volbrecht, Rachel</dc:creator>
  <cp:lastModifiedBy>Mickelson, Randa</cp:lastModifiedBy>
  <cp:revision>2</cp:revision>
  <cp:lastPrinted>2012-02-08T15:22:00Z</cp:lastPrinted>
  <dcterms:created xsi:type="dcterms:W3CDTF">2012-02-08T17:10:00Z</dcterms:created>
  <dcterms:modified xsi:type="dcterms:W3CDTF">2012-02-08T17:10:00Z</dcterms:modified>
</cp:coreProperties>
</file>