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E484" w14:textId="112CE22F" w:rsidR="000414E4" w:rsidRPr="00D03A8D" w:rsidRDefault="000414E4" w:rsidP="00D03A8D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360" w:line="259" w:lineRule="auto"/>
        <w:rPr>
          <w:rFonts w:asciiTheme="minorHAnsi" w:hAnsiTheme="minorHAnsi" w:cstheme="minorHAnsi"/>
          <w:sz w:val="28"/>
        </w:rPr>
      </w:pPr>
      <w:r w:rsidRPr="00D03A8D">
        <w:rPr>
          <w:rFonts w:asciiTheme="minorHAnsi" w:hAnsiTheme="minorHAnsi" w:cstheme="minorHAnsi"/>
          <w:sz w:val="28"/>
        </w:rPr>
        <w:t>Notice to Proposed Guardians/Conservators</w:t>
      </w:r>
      <w:r w:rsidR="00D03A8D">
        <w:rPr>
          <w:rFonts w:asciiTheme="minorHAnsi" w:hAnsiTheme="minorHAnsi" w:cstheme="minorHAnsi"/>
          <w:sz w:val="28"/>
        </w:rPr>
        <w:t xml:space="preserve"> </w:t>
      </w:r>
      <w:r w:rsidR="00D03A8D">
        <w:rPr>
          <w:rFonts w:asciiTheme="minorHAnsi" w:hAnsiTheme="minorHAnsi" w:cstheme="minorHAnsi"/>
          <w:sz w:val="28"/>
        </w:rPr>
        <w:br/>
      </w:r>
      <w:r w:rsidRPr="00D03A8D">
        <w:rPr>
          <w:rFonts w:asciiTheme="minorHAnsi" w:hAnsiTheme="minorHAnsi" w:cstheme="minorHAnsi"/>
          <w:sz w:val="28"/>
        </w:rPr>
        <w:t>Regarding Background Check Requirements</w:t>
      </w:r>
      <w:r w:rsidR="00D03A8D">
        <w:rPr>
          <w:rFonts w:asciiTheme="minorHAnsi" w:hAnsiTheme="minorHAnsi" w:cstheme="minorHAnsi"/>
          <w:sz w:val="28"/>
        </w:rPr>
        <w:t xml:space="preserve"> (GAC104)</w:t>
      </w:r>
    </w:p>
    <w:p w14:paraId="31DECCFA" w14:textId="448D6909" w:rsidR="00631C05" w:rsidRPr="00D03A8D" w:rsidRDefault="00E03FC0" w:rsidP="00D03A8D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contextualSpacing/>
        <w:jc w:val="left"/>
        <w:rPr>
          <w:rFonts w:asciiTheme="minorHAnsi" w:hAnsiTheme="minorHAnsi" w:cstheme="minorHAnsi"/>
          <w:b w:val="0"/>
        </w:rPr>
      </w:pPr>
      <w:hyperlink r:id="rId12" w:history="1">
        <w:r w:rsidR="00631C05" w:rsidRPr="00D03A8D">
          <w:rPr>
            <w:rStyle w:val="Hyperlink"/>
            <w:rFonts w:asciiTheme="minorHAnsi" w:hAnsiTheme="minorHAnsi" w:cstheme="minorHAnsi"/>
            <w:b w:val="0"/>
          </w:rPr>
          <w:t>Minn. Stat. § 524.5-118</w:t>
        </w:r>
      </w:hyperlink>
      <w:r w:rsidR="00631C05" w:rsidRPr="00D03A8D">
        <w:rPr>
          <w:rFonts w:asciiTheme="minorHAnsi" w:hAnsiTheme="minorHAnsi" w:cstheme="minorHAnsi"/>
          <w:b w:val="0"/>
        </w:rPr>
        <w:t xml:space="preserve"> (revisor.mn.gov/statutes/cite/524.5-118) requires 2 background checks on proposed guardians and conservators:</w:t>
      </w:r>
    </w:p>
    <w:p w14:paraId="006E436A" w14:textId="77777777" w:rsidR="00631C05" w:rsidRPr="00D03A8D" w:rsidRDefault="00631C05" w:rsidP="00D03A8D">
      <w:pPr>
        <w:pStyle w:val="Title"/>
        <w:numPr>
          <w:ilvl w:val="0"/>
          <w:numId w:val="7"/>
        </w:numPr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Maltreatment and state licensing agency check through the Department of Human Services (DHS); and</w:t>
      </w:r>
    </w:p>
    <w:p w14:paraId="07CA8B2D" w14:textId="6D35B4A7" w:rsidR="000414E4" w:rsidRPr="00D03A8D" w:rsidRDefault="00631C05" w:rsidP="00D03A8D">
      <w:pPr>
        <w:pStyle w:val="Title"/>
        <w:numPr>
          <w:ilvl w:val="0"/>
          <w:numId w:val="7"/>
        </w:numPr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Criminal history check through the Bureau of Criminal Apprehension (BCA)</w:t>
      </w:r>
      <w:r w:rsidR="000414E4" w:rsidRPr="00D03A8D">
        <w:rPr>
          <w:rFonts w:asciiTheme="minorHAnsi" w:hAnsiTheme="minorHAnsi" w:cstheme="minorHAnsi"/>
          <w:b w:val="0"/>
        </w:rPr>
        <w:t>.</w:t>
      </w:r>
    </w:p>
    <w:p w14:paraId="060E8B27" w14:textId="40606806" w:rsidR="000414E4" w:rsidRPr="00D03A8D" w:rsidRDefault="000414E4" w:rsidP="00D03A8D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These 2 background checks are generally required before the appointment of a guardian or conservator, and once every 5 years after the appointment if the person continues to serve as a guardian or conservator.</w:t>
      </w:r>
    </w:p>
    <w:p w14:paraId="3E0B3B92" w14:textId="6C03D547" w:rsidR="00D03A8D" w:rsidRDefault="000414E4" w:rsidP="00D03A8D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 xml:space="preserve">The </w:t>
      </w:r>
      <w:r w:rsidR="00631C05" w:rsidRPr="00D03A8D">
        <w:rPr>
          <w:rFonts w:asciiTheme="minorHAnsi" w:hAnsiTheme="minorHAnsi" w:cstheme="minorHAnsi"/>
          <w:b w:val="0"/>
        </w:rPr>
        <w:t>purpose of</w:t>
      </w:r>
      <w:r w:rsidRPr="00D03A8D">
        <w:rPr>
          <w:rFonts w:asciiTheme="minorHAnsi" w:hAnsiTheme="minorHAnsi" w:cstheme="minorHAnsi"/>
          <w:b w:val="0"/>
        </w:rPr>
        <w:t xml:space="preserve"> the background checks is to</w:t>
      </w:r>
      <w:r w:rsidR="00631C05" w:rsidRPr="00D03A8D">
        <w:rPr>
          <w:rFonts w:asciiTheme="minorHAnsi" w:hAnsiTheme="minorHAnsi" w:cstheme="minorHAnsi"/>
          <w:b w:val="0"/>
        </w:rPr>
        <w:t xml:space="preserve"> assist the court in determining whether an appointment as a guardian or conservator is in the best interests of the respondent/person subject to guardianship/person subject to conservatorship.  The </w:t>
      </w:r>
      <w:r w:rsidRPr="00D03A8D">
        <w:rPr>
          <w:rFonts w:asciiTheme="minorHAnsi" w:hAnsiTheme="minorHAnsi" w:cstheme="minorHAnsi"/>
          <w:b w:val="0"/>
        </w:rPr>
        <w:t xml:space="preserve">background check requirements are </w:t>
      </w:r>
      <w:r w:rsidR="00631C05" w:rsidRPr="00D03A8D">
        <w:rPr>
          <w:rFonts w:asciiTheme="minorHAnsi" w:hAnsiTheme="minorHAnsi" w:cstheme="minorHAnsi"/>
          <w:b w:val="0"/>
        </w:rPr>
        <w:t>waived if the proposed guardian or conservator is:</w:t>
      </w:r>
    </w:p>
    <w:p w14:paraId="18CC946C" w14:textId="77777777" w:rsidR="00D03A8D" w:rsidRDefault="00631C05" w:rsidP="00D03A8D">
      <w:pPr>
        <w:pStyle w:val="Title"/>
        <w:numPr>
          <w:ilvl w:val="0"/>
          <w:numId w:val="6"/>
        </w:numPr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a state agency or county;</w:t>
      </w:r>
    </w:p>
    <w:p w14:paraId="7D172247" w14:textId="77777777" w:rsidR="00D03A8D" w:rsidRDefault="00631C05" w:rsidP="00D03A8D">
      <w:pPr>
        <w:pStyle w:val="Title"/>
        <w:numPr>
          <w:ilvl w:val="0"/>
          <w:numId w:val="6"/>
        </w:numPr>
        <w:tabs>
          <w:tab w:val="clear" w:pos="1080"/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720" w:hanging="36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a parent or guardian of a person who has a developmental disability, if the parent or guardian has raised the person in the family home until the time the petition is filed, unless counsel appointed for the person recommends a background study; or</w:t>
      </w:r>
    </w:p>
    <w:p w14:paraId="193E6F18" w14:textId="3533DFC1" w:rsidR="00631C05" w:rsidRPr="00D03A8D" w:rsidRDefault="00631C05" w:rsidP="00D03A8D">
      <w:pPr>
        <w:pStyle w:val="Title"/>
        <w:numPr>
          <w:ilvl w:val="0"/>
          <w:numId w:val="6"/>
        </w:numPr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a bank with trust powers, bank and trust company, or trust company.</w:t>
      </w:r>
    </w:p>
    <w:p w14:paraId="0B38AD82" w14:textId="221BADAE" w:rsidR="00631C05" w:rsidRPr="00D03A8D" w:rsidRDefault="000414E4" w:rsidP="00D03A8D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jc w:val="left"/>
        <w:rPr>
          <w:rFonts w:asciiTheme="minorHAnsi" w:hAnsiTheme="minorHAnsi" w:cstheme="minorHAnsi"/>
          <w:bCs/>
        </w:rPr>
      </w:pPr>
      <w:r w:rsidRPr="00D03A8D">
        <w:rPr>
          <w:rFonts w:asciiTheme="minorHAnsi" w:hAnsiTheme="minorHAnsi" w:cstheme="minorHAnsi"/>
          <w:bCs/>
        </w:rPr>
        <w:t>PROCEDURES</w:t>
      </w:r>
    </w:p>
    <w:p w14:paraId="2FB4C3BA" w14:textId="77777777" w:rsidR="00251AA9" w:rsidRPr="00D03A8D" w:rsidRDefault="00251AA9" w:rsidP="00D03A8D">
      <w:pPr>
        <w:pStyle w:val="Title"/>
        <w:numPr>
          <w:ilvl w:val="0"/>
          <w:numId w:val="8"/>
        </w:numPr>
        <w:tabs>
          <w:tab w:val="clear" w:pos="1080"/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360" w:hanging="36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Cs/>
        </w:rPr>
        <w:t>DHS - Maltreatment and state licensing agency check:</w:t>
      </w:r>
    </w:p>
    <w:p w14:paraId="3EA50FEC" w14:textId="77777777" w:rsidR="00D03A8D" w:rsidRDefault="00251AA9" w:rsidP="00D03A8D">
      <w:pPr>
        <w:pStyle w:val="Title"/>
        <w:numPr>
          <w:ilvl w:val="0"/>
          <w:numId w:val="11"/>
        </w:numPr>
        <w:tabs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C</w:t>
      </w:r>
      <w:r w:rsidR="000414E4" w:rsidRPr="00D03A8D">
        <w:rPr>
          <w:rFonts w:asciiTheme="minorHAnsi" w:hAnsiTheme="minorHAnsi" w:cstheme="minorHAnsi"/>
          <w:b w:val="0"/>
        </w:rPr>
        <w:t>omplete the “Guardian and Conservator Maltreatment and Licensing Agency Checks” form</w:t>
      </w:r>
      <w:r w:rsidR="00BF4500" w:rsidRPr="00D03A8D">
        <w:rPr>
          <w:rFonts w:asciiTheme="minorHAnsi" w:hAnsiTheme="minorHAnsi" w:cstheme="minorHAnsi"/>
          <w:b w:val="0"/>
        </w:rPr>
        <w:t xml:space="preserve">, which is available on the </w:t>
      </w:r>
      <w:hyperlink r:id="rId13" w:history="1">
        <w:r w:rsidR="000414E4" w:rsidRPr="00D03A8D">
          <w:rPr>
            <w:rStyle w:val="Hyperlink"/>
            <w:rFonts w:asciiTheme="minorHAnsi" w:hAnsiTheme="minorHAnsi" w:cstheme="minorHAnsi"/>
            <w:b w:val="0"/>
          </w:rPr>
          <w:t>DHS</w:t>
        </w:r>
        <w:r w:rsidR="00BF4500" w:rsidRPr="00D03A8D">
          <w:rPr>
            <w:rStyle w:val="Hyperlink"/>
            <w:rFonts w:asciiTheme="minorHAnsi" w:hAnsiTheme="minorHAnsi" w:cstheme="minorHAnsi"/>
            <w:b w:val="0"/>
          </w:rPr>
          <w:t xml:space="preserve"> website</w:t>
        </w:r>
      </w:hyperlink>
      <w:r w:rsidR="00BF4500" w:rsidRPr="00D03A8D">
        <w:rPr>
          <w:rFonts w:asciiTheme="minorHAnsi" w:hAnsiTheme="minorHAnsi" w:cstheme="minorHAnsi"/>
          <w:b w:val="0"/>
        </w:rPr>
        <w:t xml:space="preserve"> (mn.gov/dhs/general-public/background-studies/for-entities/guardians-and-conservators/)</w:t>
      </w:r>
      <w:r w:rsidRPr="00D03A8D">
        <w:rPr>
          <w:rFonts w:asciiTheme="minorHAnsi" w:hAnsiTheme="minorHAnsi" w:cstheme="minorHAnsi"/>
          <w:b w:val="0"/>
        </w:rPr>
        <w:t>.</w:t>
      </w:r>
      <w:r w:rsidR="00BF4500" w:rsidRPr="00D03A8D">
        <w:rPr>
          <w:rFonts w:asciiTheme="minorHAnsi" w:hAnsiTheme="minorHAnsi" w:cstheme="minorHAnsi"/>
          <w:b w:val="0"/>
        </w:rPr>
        <w:t xml:space="preserve"> </w:t>
      </w:r>
    </w:p>
    <w:p w14:paraId="2B4D319B" w14:textId="77777777" w:rsidR="00D03A8D" w:rsidRDefault="00251AA9" w:rsidP="00D03A8D">
      <w:pPr>
        <w:pStyle w:val="Title"/>
        <w:numPr>
          <w:ilvl w:val="0"/>
          <w:numId w:val="11"/>
        </w:numPr>
        <w:tabs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Submit the completed form and applicable fee to DHS at the address listed on the form.</w:t>
      </w:r>
    </w:p>
    <w:p w14:paraId="138FC92A" w14:textId="283F9BEA" w:rsidR="00AD685E" w:rsidRPr="00D03A8D" w:rsidRDefault="00AD685E" w:rsidP="00D03A8D">
      <w:pPr>
        <w:pStyle w:val="Title"/>
        <w:numPr>
          <w:ilvl w:val="0"/>
          <w:numId w:val="11"/>
        </w:numPr>
        <w:tabs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Cs/>
        </w:rPr>
        <w:t>NOTE</w:t>
      </w:r>
      <w:r w:rsidRPr="00D03A8D">
        <w:rPr>
          <w:rFonts w:asciiTheme="minorHAnsi" w:hAnsiTheme="minorHAnsi" w:cstheme="minorHAnsi"/>
          <w:b w:val="0"/>
        </w:rPr>
        <w:t>: If there is a fee waiver on file with the court, then submit the form to court administration (in person, mail, or eFile) instead.</w:t>
      </w:r>
    </w:p>
    <w:p w14:paraId="5BE352D0" w14:textId="5DD1C517" w:rsidR="00251AA9" w:rsidRPr="00D03A8D" w:rsidRDefault="00251AA9" w:rsidP="00D03A8D">
      <w:pPr>
        <w:pStyle w:val="Title"/>
        <w:numPr>
          <w:ilvl w:val="0"/>
          <w:numId w:val="8"/>
        </w:numPr>
        <w:tabs>
          <w:tab w:val="clear" w:pos="1080"/>
          <w:tab w:val="clear" w:pos="46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360" w:hanging="36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Cs/>
        </w:rPr>
        <w:t>BCA – Criminal history check:</w:t>
      </w:r>
    </w:p>
    <w:p w14:paraId="5382ECA1" w14:textId="24A7AD01" w:rsidR="00251AA9" w:rsidRPr="00D03A8D" w:rsidRDefault="00251AA9" w:rsidP="00D03A8D">
      <w:pPr>
        <w:pStyle w:val="Title"/>
        <w:numPr>
          <w:ilvl w:val="0"/>
          <w:numId w:val="10"/>
        </w:numPr>
        <w:tabs>
          <w:tab w:val="clear" w:pos="468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 xml:space="preserve">Complete the </w:t>
      </w:r>
      <w:r w:rsidRPr="00167ECC">
        <w:rPr>
          <w:rFonts w:asciiTheme="minorHAnsi" w:hAnsiTheme="minorHAnsi" w:cstheme="minorHAnsi"/>
          <w:b w:val="0"/>
          <w:i/>
          <w:iCs/>
        </w:rPr>
        <w:t>Guardian and Conservator Criminal History Check Consent Form</w:t>
      </w:r>
      <w:r w:rsidRPr="00D03A8D">
        <w:rPr>
          <w:rFonts w:asciiTheme="minorHAnsi" w:hAnsiTheme="minorHAnsi" w:cstheme="minorHAnsi"/>
          <w:b w:val="0"/>
        </w:rPr>
        <w:t xml:space="preserve"> (GAC121)</w:t>
      </w:r>
      <w:r w:rsidR="00BF4500" w:rsidRPr="00D03A8D">
        <w:rPr>
          <w:rFonts w:asciiTheme="minorHAnsi" w:hAnsiTheme="minorHAnsi" w:cstheme="minorHAnsi"/>
          <w:b w:val="0"/>
        </w:rPr>
        <w:t xml:space="preserve">, which is available on the </w:t>
      </w:r>
      <w:hyperlink r:id="rId14" w:history="1">
        <w:r w:rsidR="00BF4500" w:rsidRPr="00D03A8D">
          <w:rPr>
            <w:rStyle w:val="Hyperlink"/>
            <w:rFonts w:asciiTheme="minorHAnsi" w:hAnsiTheme="minorHAnsi" w:cstheme="minorHAnsi"/>
            <w:b w:val="0"/>
          </w:rPr>
          <w:t>Minnesota Judicial Branch website</w:t>
        </w:r>
      </w:hyperlink>
      <w:r w:rsidR="00BF4500" w:rsidRPr="00D03A8D">
        <w:rPr>
          <w:rFonts w:asciiTheme="minorHAnsi" w:hAnsiTheme="minorHAnsi" w:cstheme="minorHAnsi"/>
          <w:b w:val="0"/>
        </w:rPr>
        <w:t xml:space="preserve"> (mncourts.gov/GetForms.aspx)</w:t>
      </w:r>
      <w:r w:rsidRPr="00D03A8D">
        <w:rPr>
          <w:rFonts w:asciiTheme="minorHAnsi" w:hAnsiTheme="minorHAnsi" w:cstheme="minorHAnsi"/>
          <w:b w:val="0"/>
        </w:rPr>
        <w:t>.</w:t>
      </w:r>
    </w:p>
    <w:p w14:paraId="4F540E8B" w14:textId="77376421" w:rsidR="00251AA9" w:rsidRPr="00D03A8D" w:rsidRDefault="00251AA9" w:rsidP="00D03A8D">
      <w:pPr>
        <w:pStyle w:val="Title"/>
        <w:numPr>
          <w:ilvl w:val="0"/>
          <w:numId w:val="10"/>
        </w:numPr>
        <w:tabs>
          <w:tab w:val="clear" w:pos="468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Get fingerprinted.</w:t>
      </w:r>
      <w:r w:rsidR="00BF4500" w:rsidRPr="00D03A8D">
        <w:rPr>
          <w:rFonts w:asciiTheme="minorHAnsi" w:hAnsiTheme="minorHAnsi" w:cstheme="minorHAnsi"/>
          <w:b w:val="0"/>
        </w:rPr>
        <w:t xml:space="preserve">  You can learn more about this on the </w:t>
      </w:r>
      <w:hyperlink r:id="rId15" w:history="1">
        <w:r w:rsidR="00BF4500" w:rsidRPr="00D03A8D">
          <w:rPr>
            <w:rStyle w:val="Hyperlink"/>
            <w:rFonts w:asciiTheme="minorHAnsi" w:hAnsiTheme="minorHAnsi" w:cstheme="minorHAnsi"/>
            <w:b w:val="0"/>
          </w:rPr>
          <w:t>BCA’s website</w:t>
        </w:r>
      </w:hyperlink>
      <w:r w:rsidR="00BF4500" w:rsidRPr="00D03A8D">
        <w:rPr>
          <w:rFonts w:asciiTheme="minorHAnsi" w:hAnsiTheme="minorHAnsi" w:cstheme="minorHAnsi"/>
          <w:b w:val="0"/>
        </w:rPr>
        <w:t xml:space="preserve"> (mn.gov/boards/</w:t>
      </w:r>
      <w:proofErr w:type="spellStart"/>
      <w:r w:rsidR="00BF4500" w:rsidRPr="00D03A8D">
        <w:rPr>
          <w:rFonts w:asciiTheme="minorHAnsi" w:hAnsiTheme="minorHAnsi" w:cstheme="minorHAnsi"/>
          <w:b w:val="0"/>
        </w:rPr>
        <w:t>cbc</w:t>
      </w:r>
      <w:proofErr w:type="spellEnd"/>
      <w:r w:rsidR="00BF4500" w:rsidRPr="00D03A8D">
        <w:rPr>
          <w:rFonts w:asciiTheme="minorHAnsi" w:hAnsiTheme="minorHAnsi" w:cstheme="minorHAnsi"/>
          <w:b w:val="0"/>
        </w:rPr>
        <w:t>/fingerprint-card/locations/).</w:t>
      </w:r>
    </w:p>
    <w:p w14:paraId="4041491D" w14:textId="1E85B0F2" w:rsidR="00251AA9" w:rsidRPr="00D03A8D" w:rsidRDefault="00251AA9" w:rsidP="00D03A8D">
      <w:pPr>
        <w:pStyle w:val="Title"/>
        <w:numPr>
          <w:ilvl w:val="0"/>
          <w:numId w:val="10"/>
        </w:numPr>
        <w:tabs>
          <w:tab w:val="clear" w:pos="468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 w:val="0"/>
        </w:rPr>
        <w:t>Submit the completed form, fingerprint card, and applicable fee to the BCA at the address listed on the form.</w:t>
      </w:r>
    </w:p>
    <w:p w14:paraId="6309F0DB" w14:textId="41150BF4" w:rsidR="00631C05" w:rsidRPr="00D03A8D" w:rsidRDefault="00AD685E" w:rsidP="00D03A8D">
      <w:pPr>
        <w:pStyle w:val="Title"/>
        <w:numPr>
          <w:ilvl w:val="0"/>
          <w:numId w:val="10"/>
        </w:numPr>
        <w:tabs>
          <w:tab w:val="clear" w:pos="4680"/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1080"/>
        <w:contextualSpacing/>
        <w:jc w:val="left"/>
        <w:rPr>
          <w:rFonts w:asciiTheme="minorHAnsi" w:hAnsiTheme="minorHAnsi" w:cstheme="minorHAnsi"/>
          <w:b w:val="0"/>
        </w:rPr>
      </w:pPr>
      <w:r w:rsidRPr="00D03A8D">
        <w:rPr>
          <w:rFonts w:asciiTheme="minorHAnsi" w:hAnsiTheme="minorHAnsi" w:cstheme="minorHAnsi"/>
          <w:bCs/>
        </w:rPr>
        <w:t xml:space="preserve">NOTE: </w:t>
      </w:r>
      <w:r w:rsidRPr="00D03A8D">
        <w:rPr>
          <w:rFonts w:asciiTheme="minorHAnsi" w:hAnsiTheme="minorHAnsi" w:cstheme="minorHAnsi"/>
          <w:b w:val="0"/>
        </w:rPr>
        <w:t>If there is a fee waiver on file with the court, then include a copy of the fee waiver order when you submit the fingerprint card and consent form to the BCA.</w:t>
      </w:r>
    </w:p>
    <w:p w14:paraId="60B9D039" w14:textId="5344961F" w:rsidR="00631C05" w:rsidRPr="00D03A8D" w:rsidRDefault="00167ECC" w:rsidP="00167ECC">
      <w:pPr>
        <w:pStyle w:val="Title"/>
        <w:tabs>
          <w:tab w:val="clear" w:pos="468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line="259" w:lineRule="auto"/>
        <w:ind w:left="900" w:right="-594" w:hanging="144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IMPORTANT!</w:t>
      </w:r>
      <w:r w:rsidR="00251AA9" w:rsidRPr="00D03A8D">
        <w:rPr>
          <w:rFonts w:asciiTheme="minorHAnsi" w:hAnsiTheme="minorHAnsi" w:cstheme="minorHAnsi"/>
          <w:bCs/>
        </w:rPr>
        <w:t xml:space="preserve"> </w:t>
      </w:r>
      <w:r w:rsidR="00251AA9" w:rsidRPr="00D03A8D">
        <w:rPr>
          <w:rFonts w:asciiTheme="minorHAnsi" w:hAnsiTheme="minorHAnsi" w:cstheme="minorHAnsi"/>
          <w:b w:val="0"/>
        </w:rPr>
        <w:t xml:space="preserve">Please submit the required material to DHS and BCA as soon as possible.  According to Minnesota law, the court must require these background checks </w:t>
      </w:r>
      <w:r w:rsidR="00251AA9" w:rsidRPr="00D03A8D">
        <w:rPr>
          <w:rFonts w:asciiTheme="minorHAnsi" w:hAnsiTheme="minorHAnsi" w:cstheme="minorHAnsi"/>
          <w:bCs/>
          <w:i/>
          <w:iCs/>
        </w:rPr>
        <w:t>before</w:t>
      </w:r>
      <w:r w:rsidR="00251AA9" w:rsidRPr="00D03A8D">
        <w:rPr>
          <w:rFonts w:asciiTheme="minorHAnsi" w:hAnsiTheme="minorHAnsi" w:cstheme="minorHAnsi"/>
          <w:b w:val="0"/>
        </w:rPr>
        <w:t xml:space="preserve"> appointing a guardian or conservator.</w:t>
      </w:r>
    </w:p>
    <w:sectPr w:rsidR="00631C05" w:rsidRPr="00D03A8D" w:rsidSect="00167ECC">
      <w:footerReference w:type="default" r:id="rId16"/>
      <w:pgSz w:w="12240" w:h="15840"/>
      <w:pgMar w:top="1152" w:right="1152" w:bottom="720" w:left="1152" w:header="360" w:footer="14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06B" w14:textId="77777777" w:rsidR="00B258FC" w:rsidRDefault="00B258FC">
      <w:r>
        <w:separator/>
      </w:r>
    </w:p>
  </w:endnote>
  <w:endnote w:type="continuationSeparator" w:id="0">
    <w:p w14:paraId="34C8DAE1" w14:textId="77777777" w:rsidR="00B258FC" w:rsidRDefault="00B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834" w14:textId="27EF26DF" w:rsidR="00631C05" w:rsidRPr="00631C05" w:rsidRDefault="00631C05" w:rsidP="00FA7159">
    <w:pPr>
      <w:tabs>
        <w:tab w:val="left" w:pos="1200"/>
        <w:tab w:val="left" w:pos="2280"/>
        <w:tab w:val="left" w:pos="3120"/>
        <w:tab w:val="center" w:pos="4320"/>
        <w:tab w:val="left" w:pos="4920"/>
        <w:tab w:val="right" w:pos="9360"/>
      </w:tabs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i/>
        <w:iCs/>
        <w:sz w:val="18"/>
        <w:szCs w:val="18"/>
      </w:rPr>
      <w:t>Notice to Proposed Guardians and Conservators Regarding Background Check Requirements</w:t>
    </w:r>
  </w:p>
  <w:p w14:paraId="443BE1D1" w14:textId="117FABFC" w:rsidR="00FA7159" w:rsidRPr="000C22D7" w:rsidRDefault="00EA6ED2" w:rsidP="00FA7159">
    <w:pPr>
      <w:tabs>
        <w:tab w:val="left" w:pos="1200"/>
        <w:tab w:val="left" w:pos="2280"/>
        <w:tab w:val="left" w:pos="3120"/>
        <w:tab w:val="center" w:pos="4320"/>
        <w:tab w:val="left" w:pos="492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GAC104</w:t>
    </w:r>
    <w:r w:rsidR="00FA7159" w:rsidRPr="000C22D7">
      <w:rPr>
        <w:rFonts w:ascii="Arial" w:hAnsi="Arial"/>
        <w:sz w:val="18"/>
        <w:szCs w:val="18"/>
      </w:rPr>
      <w:tab/>
      <w:t>State</w:t>
    </w:r>
    <w:r w:rsidR="00FA7159" w:rsidRPr="000C22D7">
      <w:rPr>
        <w:rFonts w:ascii="Arial" w:hAnsi="Arial"/>
        <w:sz w:val="18"/>
        <w:szCs w:val="18"/>
      </w:rPr>
      <w:tab/>
      <w:t>ENG</w:t>
    </w:r>
    <w:r w:rsidR="00D03A8D">
      <w:rPr>
        <w:rFonts w:ascii="Arial" w:hAnsi="Arial"/>
        <w:sz w:val="18"/>
        <w:szCs w:val="18"/>
      </w:rPr>
      <w:t xml:space="preserve"> </w:t>
    </w:r>
    <w:r w:rsidR="00FA7159" w:rsidRPr="000C22D7">
      <w:rPr>
        <w:rFonts w:ascii="Arial" w:hAnsi="Arial"/>
        <w:sz w:val="18"/>
        <w:szCs w:val="18"/>
      </w:rPr>
      <w:t xml:space="preserve">Rev </w:t>
    </w:r>
    <w:r w:rsidR="00631C05">
      <w:rPr>
        <w:rFonts w:ascii="Arial" w:hAnsi="Arial"/>
        <w:sz w:val="18"/>
        <w:szCs w:val="18"/>
      </w:rPr>
      <w:t>10</w:t>
    </w:r>
    <w:r w:rsidR="00832608">
      <w:rPr>
        <w:rFonts w:ascii="Arial" w:hAnsi="Arial"/>
        <w:sz w:val="18"/>
        <w:szCs w:val="18"/>
      </w:rPr>
      <w:t>/</w:t>
    </w:r>
    <w:r w:rsidR="00631C05">
      <w:rPr>
        <w:rFonts w:ascii="Arial" w:hAnsi="Arial"/>
        <w:sz w:val="18"/>
        <w:szCs w:val="18"/>
      </w:rPr>
      <w:t>23</w:t>
    </w:r>
    <w:r w:rsidR="00FA7159" w:rsidRPr="000C22D7">
      <w:rPr>
        <w:rFonts w:ascii="Arial" w:hAnsi="Arial"/>
        <w:sz w:val="18"/>
        <w:szCs w:val="18"/>
      </w:rPr>
      <w:tab/>
    </w:r>
    <w:r w:rsidR="00D03A8D">
      <w:rPr>
        <w:rFonts w:ascii="Arial" w:hAnsi="Arial"/>
        <w:sz w:val="18"/>
        <w:szCs w:val="18"/>
      </w:rPr>
      <w:tab/>
    </w:r>
    <w:r w:rsidR="00FD0326" w:rsidRPr="00832608">
      <w:rPr>
        <w:rFonts w:ascii="Arial" w:hAnsi="Arial"/>
        <w:sz w:val="18"/>
        <w:szCs w:val="18"/>
      </w:rPr>
      <w:t>www.mncourts.gov/forms</w:t>
    </w:r>
    <w:r w:rsidR="00FA7159" w:rsidRPr="000C22D7">
      <w:rPr>
        <w:rFonts w:ascii="Arial" w:hAnsi="Arial"/>
        <w:sz w:val="18"/>
        <w:szCs w:val="18"/>
      </w:rPr>
      <w:tab/>
      <w:t xml:space="preserve">Page </w:t>
    </w:r>
    <w:r w:rsidR="00FA7159" w:rsidRPr="000C22D7">
      <w:rPr>
        <w:rStyle w:val="PageNumber"/>
        <w:rFonts w:ascii="Arial" w:hAnsi="Arial"/>
        <w:sz w:val="18"/>
        <w:szCs w:val="18"/>
      </w:rPr>
      <w:fldChar w:fldCharType="begin"/>
    </w:r>
    <w:r w:rsidR="00FA7159" w:rsidRPr="000C22D7">
      <w:rPr>
        <w:rStyle w:val="PageNumber"/>
        <w:rFonts w:ascii="Arial" w:hAnsi="Arial"/>
        <w:sz w:val="18"/>
        <w:szCs w:val="18"/>
      </w:rPr>
      <w:instrText xml:space="preserve"> PAGE </w:instrText>
    </w:r>
    <w:r w:rsidR="00FA7159" w:rsidRPr="000C22D7">
      <w:rPr>
        <w:rStyle w:val="PageNumber"/>
        <w:rFonts w:ascii="Arial" w:hAnsi="Arial"/>
        <w:sz w:val="18"/>
        <w:szCs w:val="18"/>
      </w:rPr>
      <w:fldChar w:fldCharType="separate"/>
    </w:r>
    <w:r w:rsidR="00832608">
      <w:rPr>
        <w:rStyle w:val="PageNumber"/>
        <w:rFonts w:ascii="Arial" w:hAnsi="Arial"/>
        <w:noProof/>
        <w:sz w:val="18"/>
        <w:szCs w:val="18"/>
      </w:rPr>
      <w:t>1</w:t>
    </w:r>
    <w:r w:rsidR="00FA7159" w:rsidRPr="000C22D7">
      <w:rPr>
        <w:rStyle w:val="PageNumber"/>
        <w:rFonts w:ascii="Arial" w:hAnsi="Arial"/>
        <w:sz w:val="18"/>
        <w:szCs w:val="18"/>
      </w:rPr>
      <w:fldChar w:fldCharType="end"/>
    </w:r>
    <w:r w:rsidR="00FA7159" w:rsidRPr="000C22D7">
      <w:rPr>
        <w:rStyle w:val="PageNumber"/>
        <w:rFonts w:ascii="Arial" w:hAnsi="Arial"/>
        <w:sz w:val="18"/>
        <w:szCs w:val="18"/>
      </w:rPr>
      <w:t xml:space="preserve"> of </w:t>
    </w:r>
    <w:r w:rsidR="00FA7159" w:rsidRPr="000C22D7">
      <w:rPr>
        <w:rStyle w:val="PageNumber"/>
        <w:rFonts w:ascii="Arial" w:hAnsi="Arial"/>
        <w:sz w:val="18"/>
        <w:szCs w:val="18"/>
      </w:rPr>
      <w:fldChar w:fldCharType="begin"/>
    </w:r>
    <w:r w:rsidR="00FA7159" w:rsidRPr="000C22D7">
      <w:rPr>
        <w:rStyle w:val="PageNumber"/>
        <w:rFonts w:ascii="Arial" w:hAnsi="Arial"/>
        <w:sz w:val="18"/>
        <w:szCs w:val="18"/>
      </w:rPr>
      <w:instrText xml:space="preserve"> NUMPAGES </w:instrText>
    </w:r>
    <w:r w:rsidR="00FA7159" w:rsidRPr="000C22D7">
      <w:rPr>
        <w:rStyle w:val="PageNumber"/>
        <w:rFonts w:ascii="Arial" w:hAnsi="Arial"/>
        <w:sz w:val="18"/>
        <w:szCs w:val="18"/>
      </w:rPr>
      <w:fldChar w:fldCharType="separate"/>
    </w:r>
    <w:r w:rsidR="00832608">
      <w:rPr>
        <w:rStyle w:val="PageNumber"/>
        <w:rFonts w:ascii="Arial" w:hAnsi="Arial"/>
        <w:noProof/>
        <w:sz w:val="18"/>
        <w:szCs w:val="18"/>
      </w:rPr>
      <w:t>1</w:t>
    </w:r>
    <w:r w:rsidR="00FA7159" w:rsidRPr="000C22D7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FBA2" w14:textId="77777777" w:rsidR="00B258FC" w:rsidRDefault="00B258FC">
      <w:r>
        <w:separator/>
      </w:r>
    </w:p>
  </w:footnote>
  <w:footnote w:type="continuationSeparator" w:id="0">
    <w:p w14:paraId="2180F63A" w14:textId="77777777" w:rsidR="00B258FC" w:rsidRDefault="00B2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752EE"/>
    <w:multiLevelType w:val="hybridMultilevel"/>
    <w:tmpl w:val="8B640FC8"/>
    <w:lvl w:ilvl="0" w:tplc="C13A5D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B4C15"/>
    <w:multiLevelType w:val="hybridMultilevel"/>
    <w:tmpl w:val="582637CA"/>
    <w:lvl w:ilvl="0" w:tplc="A83461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C4F3A"/>
    <w:multiLevelType w:val="hybridMultilevel"/>
    <w:tmpl w:val="4B741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5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2D9D1050"/>
    <w:multiLevelType w:val="hybridMultilevel"/>
    <w:tmpl w:val="E982DB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2377"/>
    <w:multiLevelType w:val="hybridMultilevel"/>
    <w:tmpl w:val="AA2AA6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E212EC"/>
    <w:multiLevelType w:val="hybridMultilevel"/>
    <w:tmpl w:val="18E6B4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52C7339"/>
    <w:multiLevelType w:val="hybridMultilevel"/>
    <w:tmpl w:val="2E90C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9730248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 w16cid:durableId="120999631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 w16cid:durableId="806626440">
    <w:abstractNumId w:val="5"/>
  </w:num>
  <w:num w:numId="4" w16cid:durableId="880551381">
    <w:abstractNumId w:val="4"/>
  </w:num>
  <w:num w:numId="5" w16cid:durableId="313221553">
    <w:abstractNumId w:val="1"/>
  </w:num>
  <w:num w:numId="6" w16cid:durableId="246768623">
    <w:abstractNumId w:val="2"/>
  </w:num>
  <w:num w:numId="7" w16cid:durableId="96486425">
    <w:abstractNumId w:val="7"/>
  </w:num>
  <w:num w:numId="8" w16cid:durableId="494564861">
    <w:abstractNumId w:val="6"/>
  </w:num>
  <w:num w:numId="9" w16cid:durableId="184443238">
    <w:abstractNumId w:val="8"/>
  </w:num>
  <w:num w:numId="10" w16cid:durableId="1603999277">
    <w:abstractNumId w:val="9"/>
  </w:num>
  <w:num w:numId="11" w16cid:durableId="51737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59"/>
    <w:rsid w:val="000414E4"/>
    <w:rsid w:val="00167ECC"/>
    <w:rsid w:val="00251AA9"/>
    <w:rsid w:val="003800CA"/>
    <w:rsid w:val="00631C05"/>
    <w:rsid w:val="00640632"/>
    <w:rsid w:val="00671855"/>
    <w:rsid w:val="00683F2E"/>
    <w:rsid w:val="007748D5"/>
    <w:rsid w:val="00774AEF"/>
    <w:rsid w:val="00813988"/>
    <w:rsid w:val="008310A3"/>
    <w:rsid w:val="00832608"/>
    <w:rsid w:val="008D7CBE"/>
    <w:rsid w:val="00AD685E"/>
    <w:rsid w:val="00B258FC"/>
    <w:rsid w:val="00BF4500"/>
    <w:rsid w:val="00D03A8D"/>
    <w:rsid w:val="00D20CAA"/>
    <w:rsid w:val="00D3416C"/>
    <w:rsid w:val="00E03FC0"/>
    <w:rsid w:val="00EA6ED2"/>
    <w:rsid w:val="00F13A47"/>
    <w:rsid w:val="00F23677"/>
    <w:rsid w:val="00F633B6"/>
    <w:rsid w:val="00FA7159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FB540"/>
  <w15:chartTrackingRefBased/>
  <w15:docId w15:val="{8062D303-5022-44A5-8216-C328E69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character" w:styleId="Hyperlink">
    <w:name w:val="Hyperlink"/>
    <w:rsid w:val="00FD0326"/>
    <w:rPr>
      <w:color w:val="0000FF"/>
      <w:u w:val="single"/>
    </w:rPr>
  </w:style>
  <w:style w:type="paragraph" w:styleId="FootnoteText">
    <w:name w:val="footnote text"/>
    <w:basedOn w:val="Normal"/>
    <w:semiHidden/>
  </w:style>
  <w:style w:type="paragraph" w:styleId="Revision">
    <w:name w:val="Revision"/>
    <w:hidden/>
    <w:uiPriority w:val="99"/>
    <w:semiHidden/>
    <w:rsid w:val="008D7CBE"/>
    <w:rPr>
      <w:rFonts w:ascii="Tahoma" w:hAnsi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31C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51A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AA9"/>
  </w:style>
  <w:style w:type="character" w:customStyle="1" w:styleId="CommentTextChar">
    <w:name w:val="Comment Text Char"/>
    <w:basedOn w:val="DefaultParagraphFont"/>
    <w:link w:val="CommentText"/>
    <w:rsid w:val="00251AA9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25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1AA9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n.gov/dhs/general-public/background-studies/for-entities/guardians-and-conservato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visor.mn.gov/statutes/cite/524.5-11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n.gov/boards/cbc/fingerprint-card/locations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ncourts.gov/GetForms.aspx?c=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9e7283f3-495d-428d-b2da-c5795bf88ee6">Reviewed - replaced terminology in body of form. JK</Comments>
    <Author0 xmlns="9e7283f3-495d-428d-b2da-c5795bf88ee6" xsi:nil="true"/>
    <_dlc_DocId xmlns="744ceb61-5b2b-4f94-bf2a-253dcbf4a3c4">MNSCA-608628582-3029</_dlc_DocId>
    <_dlc_DocIdUrl xmlns="744ceb61-5b2b-4f94-bf2a-253dcbf4a3c4">
      <Url>https://sp.courts.state.mn.us/SCA/mjbcollab/COAG/_layouts/15/DocIdRedir.aspx?ID=MNSCA-608628582-3029</Url>
      <Description>MNSCA-608628582-3029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FA256-402D-412D-8F80-55FE6E387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93AAB-55DA-464F-A0F7-931A8CDB73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18CBC8-DB34-4A7B-B566-E4D2BDBA05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CEE19-18EA-4B71-9F54-14493D04BF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DEC81B-98C9-439B-B21C-97AD4B9B2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Proposed Guardians/Conservators Regarding Background Check Requirements</vt:lpstr>
    </vt:vector>
  </TitlesOfParts>
  <Company>MSC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Proposed Guardians/Conservators Regarding Background Check Requirements</dc:title>
  <dc:subject/>
  <dc:creator>MSC</dc:creator>
  <cp:keywords/>
  <dc:description/>
  <cp:lastModifiedBy>Giernoth, Melissa</cp:lastModifiedBy>
  <cp:revision>3</cp:revision>
  <cp:lastPrinted>1999-12-03T20:38:00Z</cp:lastPrinted>
  <dcterms:created xsi:type="dcterms:W3CDTF">2023-10-13T20:01:00Z</dcterms:created>
  <dcterms:modified xsi:type="dcterms:W3CDTF">2024-11-27T21:09:00Z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5c846e9b-41e9-46f9-af3e-4d30dcd8c9aa</vt:lpwstr>
  </property>
  <property fmtid="{D5CDD505-2E9C-101B-9397-08002B2CF9AE}" pid="3" name="ContentTypeId">
    <vt:lpwstr>0x010100889C4243981AD34B93379BCFBDB1088D</vt:lpwstr>
  </property>
  <property fmtid="{D5CDD505-2E9C-101B-9397-08002B2CF9AE}" pid="4" name="MSIP_Label_be79656f-57b9-4d90-9939-25c1fcaa4399_Enabled">
    <vt:lpwstr>true</vt:lpwstr>
  </property>
  <property fmtid="{D5CDD505-2E9C-101B-9397-08002B2CF9AE}" pid="5" name="MSIP_Label_be79656f-57b9-4d90-9939-25c1fcaa4399_SetDate">
    <vt:lpwstr>2024-11-27T21:09:41Z</vt:lpwstr>
  </property>
  <property fmtid="{D5CDD505-2E9C-101B-9397-08002B2CF9AE}" pid="6" name="MSIP_Label_be79656f-57b9-4d90-9939-25c1fcaa4399_Method">
    <vt:lpwstr>Standard</vt:lpwstr>
  </property>
  <property fmtid="{D5CDD505-2E9C-101B-9397-08002B2CF9AE}" pid="7" name="MSIP_Label_be79656f-57b9-4d90-9939-25c1fcaa4399_Name">
    <vt:lpwstr>Moderate</vt:lpwstr>
  </property>
  <property fmtid="{D5CDD505-2E9C-101B-9397-08002B2CF9AE}" pid="8" name="MSIP_Label_be79656f-57b9-4d90-9939-25c1fcaa4399_SiteId">
    <vt:lpwstr>8cf8312b-4c34-4b6f-9dee-c56512a7510f</vt:lpwstr>
  </property>
  <property fmtid="{D5CDD505-2E9C-101B-9397-08002B2CF9AE}" pid="9" name="MSIP_Label_be79656f-57b9-4d90-9939-25c1fcaa4399_ActionId">
    <vt:lpwstr>4ed5095c-5ac7-4074-9575-ab72e0979980</vt:lpwstr>
  </property>
  <property fmtid="{D5CDD505-2E9C-101B-9397-08002B2CF9AE}" pid="10" name="MSIP_Label_be79656f-57b9-4d90-9939-25c1fcaa4399_ContentBits">
    <vt:lpwstr>0</vt:lpwstr>
  </property>
</Properties>
</file>