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121D" w14:textId="77777777" w:rsidR="00864D88" w:rsidRDefault="00864D88" w:rsidP="00864D88">
      <w:pPr>
        <w:pStyle w:val="Title"/>
      </w:pPr>
      <w:r w:rsidRPr="00864D88">
        <w:t xml:space="preserve">Notice to </w:t>
      </w:r>
      <w:r>
        <w:t>Spouse and/or Children</w:t>
      </w:r>
    </w:p>
    <w:p w14:paraId="15C51544" w14:textId="77777777" w:rsidR="00B954B2" w:rsidRDefault="00B954B2" w:rsidP="003869B7">
      <w:pPr>
        <w:spacing w:after="160" w:line="259" w:lineRule="auto"/>
        <w:rPr>
          <w:b/>
        </w:rPr>
      </w:pPr>
    </w:p>
    <w:p w14:paraId="7C14D99E" w14:textId="7CA22569" w:rsidR="00864D88" w:rsidRPr="00B954B2" w:rsidRDefault="00864D88" w:rsidP="003869B7">
      <w:pPr>
        <w:spacing w:after="160" w:line="259" w:lineRule="auto"/>
        <w:rPr>
          <w:b/>
          <w:sz w:val="22"/>
          <w:szCs w:val="22"/>
        </w:rPr>
      </w:pPr>
      <w:r w:rsidRPr="00B954B2">
        <w:rPr>
          <w:b/>
          <w:sz w:val="22"/>
          <w:szCs w:val="22"/>
        </w:rPr>
        <w:t xml:space="preserve">To the </w:t>
      </w:r>
      <w:r w:rsidR="003869B7" w:rsidRPr="00B954B2">
        <w:rPr>
          <w:b/>
          <w:sz w:val="22"/>
          <w:szCs w:val="22"/>
        </w:rPr>
        <w:t>Surviving Spouse and/or Children of the Decedent</w:t>
      </w:r>
      <w:r w:rsidRPr="00B954B2">
        <w:rPr>
          <w:b/>
          <w:sz w:val="22"/>
          <w:szCs w:val="22"/>
        </w:rPr>
        <w:t>:</w:t>
      </w:r>
    </w:p>
    <w:p w14:paraId="5A2C7FEF" w14:textId="725984E2" w:rsidR="007E4C86" w:rsidRPr="00B954B2" w:rsidRDefault="003869B7" w:rsidP="0093456C">
      <w:pPr>
        <w:spacing w:after="160" w:line="259" w:lineRule="auto"/>
        <w:ind w:right="-86"/>
        <w:rPr>
          <w:sz w:val="22"/>
          <w:szCs w:val="22"/>
        </w:rPr>
      </w:pPr>
      <w:r w:rsidRPr="00B954B2">
        <w:rPr>
          <w:sz w:val="22"/>
          <w:szCs w:val="22"/>
        </w:rPr>
        <w:t xml:space="preserve">This Notice is to advise you of your rights regarding the Estate of </w:t>
      </w:r>
      <w:r w:rsidRPr="00B954B2">
        <w:rPr>
          <w:sz w:val="22"/>
          <w:szCs w:val="22"/>
          <w:u w:val="single"/>
        </w:rPr>
        <w:tab/>
      </w:r>
      <w:r w:rsidRPr="00B954B2">
        <w:rPr>
          <w:sz w:val="22"/>
          <w:szCs w:val="22"/>
          <w:u w:val="single"/>
        </w:rPr>
        <w:tab/>
      </w:r>
      <w:r w:rsidRPr="00B954B2">
        <w:rPr>
          <w:sz w:val="22"/>
          <w:szCs w:val="22"/>
          <w:u w:val="single"/>
        </w:rPr>
        <w:tab/>
      </w:r>
      <w:r w:rsidRPr="00B954B2">
        <w:rPr>
          <w:sz w:val="22"/>
          <w:szCs w:val="22"/>
          <w:u w:val="single"/>
        </w:rPr>
        <w:tab/>
      </w:r>
      <w:r w:rsidRPr="00B954B2">
        <w:rPr>
          <w:sz w:val="22"/>
          <w:szCs w:val="22"/>
          <w:u w:val="single"/>
        </w:rPr>
        <w:tab/>
      </w:r>
      <w:r w:rsidRPr="00B954B2">
        <w:rPr>
          <w:sz w:val="22"/>
          <w:szCs w:val="22"/>
        </w:rPr>
        <w:t>.  Under Minnesota law, you (as surviving spouse or child of the Decedent) may have some or all of the rights summarized below.</w:t>
      </w:r>
    </w:p>
    <w:p w14:paraId="2E6B57EB" w14:textId="77777777" w:rsidR="003869B7" w:rsidRPr="00B954B2" w:rsidRDefault="003869B7" w:rsidP="003869B7">
      <w:pPr>
        <w:spacing w:after="160" w:line="259" w:lineRule="auto"/>
        <w:ind w:right="-90"/>
        <w:rPr>
          <w:sz w:val="22"/>
          <w:szCs w:val="22"/>
        </w:rPr>
      </w:pPr>
      <w:r w:rsidRPr="00B954B2">
        <w:rPr>
          <w:b/>
          <w:sz w:val="22"/>
          <w:szCs w:val="22"/>
        </w:rPr>
        <w:t>Surviving Spouse:</w:t>
      </w:r>
    </w:p>
    <w:p w14:paraId="3569E20D" w14:textId="77777777" w:rsidR="003869B7" w:rsidRPr="00B954B2" w:rsidRDefault="003869B7" w:rsidP="0093456C">
      <w:pPr>
        <w:pStyle w:val="ListParagraph"/>
        <w:numPr>
          <w:ilvl w:val="0"/>
          <w:numId w:val="3"/>
        </w:numPr>
        <w:spacing w:after="160" w:line="259" w:lineRule="auto"/>
        <w:ind w:right="-86"/>
      </w:pPr>
      <w:r w:rsidRPr="00B954B2">
        <w:t>The right to elect a percentage of the “augmented estate,” which is provided under Minn. Stat. §§ 524.2-201 through 524.2-214.  This</w:t>
      </w:r>
      <w:r w:rsidRPr="00B954B2">
        <w:rPr>
          <w:spacing w:val="-14"/>
        </w:rPr>
        <w:t xml:space="preserve"> </w:t>
      </w:r>
      <w:r w:rsidRPr="00B954B2">
        <w:t>right</w:t>
      </w:r>
      <w:r w:rsidRPr="00B954B2">
        <w:rPr>
          <w:spacing w:val="-14"/>
        </w:rPr>
        <w:t xml:space="preserve"> </w:t>
      </w:r>
      <w:r w:rsidRPr="00B954B2">
        <w:t>to</w:t>
      </w:r>
      <w:r w:rsidRPr="00B954B2">
        <w:rPr>
          <w:spacing w:val="-17"/>
        </w:rPr>
        <w:t xml:space="preserve"> </w:t>
      </w:r>
      <w:r w:rsidRPr="00B954B2">
        <w:t>elect</w:t>
      </w:r>
      <w:r w:rsidRPr="00B954B2">
        <w:rPr>
          <w:spacing w:val="-16"/>
        </w:rPr>
        <w:t xml:space="preserve"> </w:t>
      </w:r>
      <w:r w:rsidRPr="00B954B2">
        <w:t>is</w:t>
      </w:r>
      <w:r w:rsidRPr="00B954B2">
        <w:rPr>
          <w:spacing w:val="-17"/>
        </w:rPr>
        <w:t xml:space="preserve"> </w:t>
      </w:r>
      <w:r w:rsidRPr="00B954B2">
        <w:t>personal</w:t>
      </w:r>
      <w:r w:rsidRPr="00B954B2">
        <w:rPr>
          <w:spacing w:val="-16"/>
        </w:rPr>
        <w:t xml:space="preserve"> </w:t>
      </w:r>
      <w:r w:rsidRPr="00B954B2">
        <w:t>to</w:t>
      </w:r>
      <w:r w:rsidRPr="00B954B2">
        <w:rPr>
          <w:spacing w:val="-17"/>
        </w:rPr>
        <w:t xml:space="preserve"> </w:t>
      </w:r>
      <w:r w:rsidRPr="00B954B2">
        <w:t>the</w:t>
      </w:r>
      <w:r w:rsidRPr="00B954B2">
        <w:rPr>
          <w:spacing w:val="-18"/>
        </w:rPr>
        <w:t xml:space="preserve"> </w:t>
      </w:r>
      <w:r w:rsidRPr="00B954B2">
        <w:t>surviving</w:t>
      </w:r>
      <w:r w:rsidRPr="00B954B2">
        <w:rPr>
          <w:spacing w:val="-19"/>
        </w:rPr>
        <w:t xml:space="preserve"> </w:t>
      </w:r>
      <w:r w:rsidRPr="00B954B2">
        <w:t>spouse</w:t>
      </w:r>
      <w:r w:rsidRPr="00B954B2">
        <w:rPr>
          <w:spacing w:val="-18"/>
        </w:rPr>
        <w:t xml:space="preserve"> </w:t>
      </w:r>
      <w:r w:rsidRPr="00B954B2">
        <w:t>and</w:t>
      </w:r>
      <w:r w:rsidRPr="00B954B2">
        <w:rPr>
          <w:spacing w:val="-17"/>
        </w:rPr>
        <w:t xml:space="preserve"> </w:t>
      </w:r>
      <w:r w:rsidRPr="00B954B2">
        <w:t>must</w:t>
      </w:r>
      <w:r w:rsidRPr="00B954B2">
        <w:rPr>
          <w:spacing w:val="-16"/>
        </w:rPr>
        <w:t xml:space="preserve"> </w:t>
      </w:r>
      <w:r w:rsidRPr="00B954B2">
        <w:t>be made</w:t>
      </w:r>
      <w:r w:rsidRPr="00B954B2">
        <w:rPr>
          <w:spacing w:val="-3"/>
        </w:rPr>
        <w:t xml:space="preserve"> </w:t>
      </w:r>
      <w:r w:rsidRPr="00B954B2">
        <w:t>within</w:t>
      </w:r>
      <w:r w:rsidRPr="00B954B2">
        <w:rPr>
          <w:spacing w:val="-2"/>
        </w:rPr>
        <w:t xml:space="preserve"> </w:t>
      </w:r>
      <w:r w:rsidRPr="00B954B2">
        <w:t>9</w:t>
      </w:r>
      <w:r w:rsidRPr="00B954B2">
        <w:rPr>
          <w:spacing w:val="-2"/>
        </w:rPr>
        <w:t xml:space="preserve"> </w:t>
      </w:r>
      <w:r w:rsidRPr="00B954B2">
        <w:t>months</w:t>
      </w:r>
      <w:r w:rsidRPr="00B954B2">
        <w:rPr>
          <w:spacing w:val="-2"/>
        </w:rPr>
        <w:t xml:space="preserve"> </w:t>
      </w:r>
      <w:r w:rsidRPr="00B954B2">
        <w:t>after</w:t>
      </w:r>
      <w:r w:rsidRPr="00B954B2">
        <w:rPr>
          <w:spacing w:val="-3"/>
        </w:rPr>
        <w:t xml:space="preserve"> </w:t>
      </w:r>
      <w:r w:rsidRPr="00B954B2">
        <w:t>the</w:t>
      </w:r>
      <w:r w:rsidRPr="00B954B2">
        <w:rPr>
          <w:spacing w:val="-6"/>
        </w:rPr>
        <w:t xml:space="preserve"> </w:t>
      </w:r>
      <w:r w:rsidRPr="00B954B2">
        <w:t>date</w:t>
      </w:r>
      <w:r w:rsidRPr="00B954B2">
        <w:rPr>
          <w:spacing w:val="-6"/>
        </w:rPr>
        <w:t xml:space="preserve"> </w:t>
      </w:r>
      <w:r w:rsidRPr="00B954B2">
        <w:t>of</w:t>
      </w:r>
      <w:r w:rsidRPr="00B954B2">
        <w:rPr>
          <w:spacing w:val="-6"/>
        </w:rPr>
        <w:t xml:space="preserve"> </w:t>
      </w:r>
      <w:r w:rsidRPr="00B954B2">
        <w:t>the</w:t>
      </w:r>
      <w:r w:rsidRPr="00B954B2">
        <w:rPr>
          <w:spacing w:val="-6"/>
        </w:rPr>
        <w:t xml:space="preserve"> </w:t>
      </w:r>
      <w:r w:rsidRPr="00B954B2">
        <w:t>Decedent's</w:t>
      </w:r>
      <w:r w:rsidRPr="00B954B2">
        <w:rPr>
          <w:spacing w:val="-5"/>
        </w:rPr>
        <w:t xml:space="preserve"> </w:t>
      </w:r>
      <w:r w:rsidRPr="00B954B2">
        <w:t>death;</w:t>
      </w:r>
      <w:r w:rsidRPr="00B954B2">
        <w:rPr>
          <w:spacing w:val="-4"/>
        </w:rPr>
        <w:t xml:space="preserve"> </w:t>
      </w:r>
      <w:r w:rsidRPr="00B954B2">
        <w:t>except</w:t>
      </w:r>
      <w:r w:rsidRPr="00B954B2">
        <w:rPr>
          <w:spacing w:val="-4"/>
        </w:rPr>
        <w:t xml:space="preserve"> </w:t>
      </w:r>
      <w:r w:rsidRPr="00B954B2">
        <w:t>that</w:t>
      </w:r>
      <w:r w:rsidRPr="00B954B2">
        <w:rPr>
          <w:spacing w:val="-4"/>
        </w:rPr>
        <w:t xml:space="preserve"> </w:t>
      </w:r>
      <w:r w:rsidRPr="00B954B2">
        <w:t>for</w:t>
      </w:r>
      <w:r w:rsidRPr="00B954B2">
        <w:rPr>
          <w:spacing w:val="-6"/>
        </w:rPr>
        <w:t xml:space="preserve"> </w:t>
      </w:r>
      <w:r w:rsidRPr="00B954B2">
        <w:t>property</w:t>
      </w:r>
      <w:r w:rsidRPr="00B954B2">
        <w:rPr>
          <w:spacing w:val="-12"/>
        </w:rPr>
        <w:t xml:space="preserve"> </w:t>
      </w:r>
      <w:r w:rsidRPr="00B954B2">
        <w:t>subject</w:t>
      </w:r>
      <w:r w:rsidRPr="00B954B2">
        <w:rPr>
          <w:spacing w:val="-4"/>
        </w:rPr>
        <w:t xml:space="preserve"> </w:t>
      </w:r>
      <w:r w:rsidRPr="00B954B2">
        <w:t>to probate,</w:t>
      </w:r>
      <w:r w:rsidRPr="00B954B2">
        <w:rPr>
          <w:spacing w:val="-13"/>
        </w:rPr>
        <w:t xml:space="preserve"> </w:t>
      </w:r>
      <w:r w:rsidRPr="00B954B2">
        <w:t>the</w:t>
      </w:r>
      <w:r w:rsidRPr="00B954B2">
        <w:rPr>
          <w:spacing w:val="-13"/>
        </w:rPr>
        <w:t xml:space="preserve"> </w:t>
      </w:r>
      <w:r w:rsidRPr="00B954B2">
        <w:t>election</w:t>
      </w:r>
      <w:r w:rsidRPr="00B954B2">
        <w:rPr>
          <w:spacing w:val="-12"/>
        </w:rPr>
        <w:t xml:space="preserve"> </w:t>
      </w:r>
      <w:r w:rsidRPr="00B954B2">
        <w:t>may</w:t>
      </w:r>
      <w:r w:rsidRPr="00B954B2">
        <w:rPr>
          <w:spacing w:val="-19"/>
        </w:rPr>
        <w:t xml:space="preserve"> </w:t>
      </w:r>
      <w:r w:rsidRPr="00B954B2">
        <w:t>be</w:t>
      </w:r>
      <w:r w:rsidRPr="00B954B2">
        <w:rPr>
          <w:spacing w:val="-13"/>
        </w:rPr>
        <w:t xml:space="preserve"> </w:t>
      </w:r>
      <w:r w:rsidRPr="00B954B2">
        <w:t>made</w:t>
      </w:r>
      <w:r w:rsidRPr="00B954B2">
        <w:rPr>
          <w:spacing w:val="-13"/>
        </w:rPr>
        <w:t xml:space="preserve"> </w:t>
      </w:r>
      <w:r w:rsidRPr="00B954B2">
        <w:t>within</w:t>
      </w:r>
      <w:r w:rsidRPr="00B954B2">
        <w:rPr>
          <w:spacing w:val="-12"/>
        </w:rPr>
        <w:t xml:space="preserve"> </w:t>
      </w:r>
      <w:r w:rsidRPr="00B954B2">
        <w:t>6</w:t>
      </w:r>
      <w:r w:rsidRPr="00B954B2">
        <w:rPr>
          <w:spacing w:val="-12"/>
        </w:rPr>
        <w:t xml:space="preserve"> </w:t>
      </w:r>
      <w:r w:rsidRPr="00B954B2">
        <w:t>months</w:t>
      </w:r>
      <w:r w:rsidRPr="00B954B2">
        <w:rPr>
          <w:spacing w:val="-14"/>
        </w:rPr>
        <w:t xml:space="preserve"> </w:t>
      </w:r>
      <w:r w:rsidRPr="00B954B2">
        <w:t>after</w:t>
      </w:r>
      <w:r w:rsidRPr="00B954B2">
        <w:rPr>
          <w:spacing w:val="-15"/>
        </w:rPr>
        <w:t xml:space="preserve"> </w:t>
      </w:r>
      <w:r w:rsidRPr="00B954B2">
        <w:t>the</w:t>
      </w:r>
      <w:r w:rsidRPr="00B954B2">
        <w:rPr>
          <w:spacing w:val="-15"/>
        </w:rPr>
        <w:t xml:space="preserve"> </w:t>
      </w:r>
      <w:r w:rsidRPr="00B954B2">
        <w:t>probate</w:t>
      </w:r>
      <w:r w:rsidRPr="00B954B2">
        <w:rPr>
          <w:spacing w:val="-15"/>
        </w:rPr>
        <w:t xml:space="preserve"> </w:t>
      </w:r>
      <w:r w:rsidRPr="00B954B2">
        <w:t>of</w:t>
      </w:r>
      <w:r w:rsidRPr="00B954B2">
        <w:rPr>
          <w:spacing w:val="-15"/>
        </w:rPr>
        <w:t xml:space="preserve"> </w:t>
      </w:r>
      <w:r w:rsidRPr="00B954B2">
        <w:t>the</w:t>
      </w:r>
      <w:r w:rsidRPr="00B954B2">
        <w:rPr>
          <w:spacing w:val="-15"/>
        </w:rPr>
        <w:t xml:space="preserve"> </w:t>
      </w:r>
      <w:r w:rsidRPr="00B954B2">
        <w:t>Decedent's</w:t>
      </w:r>
      <w:r w:rsidRPr="00B954B2">
        <w:rPr>
          <w:spacing w:val="-14"/>
        </w:rPr>
        <w:t xml:space="preserve"> </w:t>
      </w:r>
      <w:r w:rsidRPr="00B954B2">
        <w:t>Will;</w:t>
      </w:r>
      <w:r w:rsidRPr="00B954B2">
        <w:rPr>
          <w:spacing w:val="-14"/>
        </w:rPr>
        <w:t xml:space="preserve"> </w:t>
      </w:r>
      <w:r w:rsidRPr="00B954B2">
        <w:t>even if the 9 month period has already</w:t>
      </w:r>
      <w:r w:rsidRPr="00B954B2">
        <w:rPr>
          <w:spacing w:val="-11"/>
        </w:rPr>
        <w:t xml:space="preserve"> </w:t>
      </w:r>
      <w:r w:rsidRPr="00B954B2">
        <w:t>expired.</w:t>
      </w:r>
    </w:p>
    <w:p w14:paraId="2CCC6A1A" w14:textId="172A6805" w:rsidR="003869B7" w:rsidRPr="00B954B2" w:rsidRDefault="00F2427F" w:rsidP="0093456C">
      <w:pPr>
        <w:pStyle w:val="ListParagraph"/>
        <w:numPr>
          <w:ilvl w:val="0"/>
          <w:numId w:val="3"/>
        </w:numPr>
        <w:spacing w:after="160" w:line="259" w:lineRule="auto"/>
        <w:ind w:right="-86"/>
      </w:pPr>
      <w:r w:rsidRPr="00B954B2">
        <w:rPr>
          <w:i/>
          <w:spacing w:val="-3"/>
        </w:rPr>
        <w:t xml:space="preserve">If the Decedent’s Will was made before your marriage to the Decedent: </w:t>
      </w:r>
      <w:r w:rsidR="003869B7" w:rsidRPr="00B954B2">
        <w:rPr>
          <w:spacing w:val="-3"/>
        </w:rPr>
        <w:t>T</w:t>
      </w:r>
      <w:r w:rsidR="003869B7" w:rsidRPr="00B954B2">
        <w:t>he right to choose the intestate</w:t>
      </w:r>
      <w:r w:rsidR="003869B7" w:rsidRPr="00B954B2">
        <w:rPr>
          <w:spacing w:val="-18"/>
        </w:rPr>
        <w:t xml:space="preserve"> </w:t>
      </w:r>
      <w:r w:rsidR="003869B7" w:rsidRPr="00B954B2">
        <w:t>share</w:t>
      </w:r>
      <w:r w:rsidR="003869B7" w:rsidRPr="00B954B2">
        <w:rPr>
          <w:spacing w:val="-18"/>
        </w:rPr>
        <w:t xml:space="preserve"> </w:t>
      </w:r>
      <w:r w:rsidR="003869B7" w:rsidRPr="00B954B2">
        <w:t>of</w:t>
      </w:r>
      <w:r w:rsidR="003869B7" w:rsidRPr="00B954B2">
        <w:rPr>
          <w:spacing w:val="-18"/>
        </w:rPr>
        <w:t xml:space="preserve"> </w:t>
      </w:r>
      <w:r w:rsidR="003869B7" w:rsidRPr="00B954B2">
        <w:t>the</w:t>
      </w:r>
      <w:r w:rsidR="003869B7" w:rsidRPr="00B954B2">
        <w:rPr>
          <w:spacing w:val="-18"/>
        </w:rPr>
        <w:t xml:space="preserve"> </w:t>
      </w:r>
      <w:r w:rsidR="003869B7" w:rsidRPr="00B954B2">
        <w:t>Estate</w:t>
      </w:r>
      <w:r w:rsidR="003869B7" w:rsidRPr="00B954B2">
        <w:rPr>
          <w:spacing w:val="-18"/>
        </w:rPr>
        <w:t xml:space="preserve"> </w:t>
      </w:r>
      <w:r w:rsidR="003869B7" w:rsidRPr="00B954B2">
        <w:t>under</w:t>
      </w:r>
      <w:r w:rsidR="003869B7" w:rsidRPr="00B954B2">
        <w:rPr>
          <w:spacing w:val="-18"/>
        </w:rPr>
        <w:t xml:space="preserve"> </w:t>
      </w:r>
      <w:r w:rsidR="003869B7" w:rsidRPr="00B954B2">
        <w:t>Minn. Stat. §</w:t>
      </w:r>
      <w:r w:rsidR="003869B7" w:rsidRPr="00B954B2">
        <w:rPr>
          <w:spacing w:val="-17"/>
        </w:rPr>
        <w:t xml:space="preserve"> </w:t>
      </w:r>
      <w:r w:rsidR="003869B7" w:rsidRPr="00B954B2">
        <w:t>524.2-301.</w:t>
      </w:r>
      <w:r w:rsidR="003869B7" w:rsidRPr="00B954B2">
        <w:rPr>
          <w:spacing w:val="27"/>
        </w:rPr>
        <w:t xml:space="preserve"> </w:t>
      </w:r>
      <w:r w:rsidR="003869B7" w:rsidRPr="00B954B2">
        <w:t>This</w:t>
      </w:r>
      <w:r w:rsidR="003869B7" w:rsidRPr="00B954B2">
        <w:rPr>
          <w:spacing w:val="-17"/>
        </w:rPr>
        <w:t xml:space="preserve"> </w:t>
      </w:r>
      <w:r w:rsidR="003869B7" w:rsidRPr="00B954B2">
        <w:t>right</w:t>
      </w:r>
      <w:r w:rsidR="003869B7" w:rsidRPr="00B954B2">
        <w:rPr>
          <w:spacing w:val="-16"/>
        </w:rPr>
        <w:t xml:space="preserve"> </w:t>
      </w:r>
      <w:r w:rsidR="003869B7" w:rsidRPr="00B954B2">
        <w:t>has</w:t>
      </w:r>
      <w:r w:rsidR="003869B7" w:rsidRPr="00B954B2">
        <w:rPr>
          <w:spacing w:val="-17"/>
        </w:rPr>
        <w:t xml:space="preserve"> </w:t>
      </w:r>
      <w:r w:rsidR="003869B7" w:rsidRPr="00B954B2">
        <w:t>some</w:t>
      </w:r>
      <w:r w:rsidR="003869B7" w:rsidRPr="00B954B2">
        <w:rPr>
          <w:spacing w:val="-22"/>
        </w:rPr>
        <w:t xml:space="preserve"> </w:t>
      </w:r>
      <w:r w:rsidR="003869B7" w:rsidRPr="00B954B2">
        <w:rPr>
          <w:spacing w:val="-3"/>
        </w:rPr>
        <w:t xml:space="preserve">limitations </w:t>
      </w:r>
      <w:r w:rsidR="003869B7" w:rsidRPr="00B954B2">
        <w:t>and</w:t>
      </w:r>
      <w:r w:rsidR="003869B7" w:rsidRPr="00B954B2">
        <w:rPr>
          <w:spacing w:val="-1"/>
        </w:rPr>
        <w:t xml:space="preserve"> </w:t>
      </w:r>
      <w:r w:rsidR="003869B7" w:rsidRPr="00B954B2">
        <w:t>exceptions.</w:t>
      </w:r>
    </w:p>
    <w:p w14:paraId="4C9C205D" w14:textId="459B9197" w:rsidR="003869B7" w:rsidRPr="00B954B2" w:rsidRDefault="003869B7" w:rsidP="0093456C">
      <w:pPr>
        <w:pStyle w:val="ListParagraph"/>
        <w:numPr>
          <w:ilvl w:val="0"/>
          <w:numId w:val="3"/>
        </w:numPr>
        <w:spacing w:after="160" w:line="259" w:lineRule="auto"/>
        <w:ind w:right="-86"/>
      </w:pPr>
      <w:r w:rsidRPr="00B954B2">
        <w:t>The right, under</w:t>
      </w:r>
      <w:r w:rsidRPr="00B954B2">
        <w:rPr>
          <w:spacing w:val="-18"/>
        </w:rPr>
        <w:t xml:space="preserve"> </w:t>
      </w:r>
      <w:r w:rsidRPr="00B954B2">
        <w:t>Minn. Stat. §</w:t>
      </w:r>
      <w:r w:rsidRPr="00B954B2">
        <w:rPr>
          <w:spacing w:val="-17"/>
        </w:rPr>
        <w:t xml:space="preserve"> </w:t>
      </w:r>
      <w:r w:rsidRPr="00B954B2">
        <w:t>524.2-402</w:t>
      </w:r>
      <w:r w:rsidRPr="00B954B2">
        <w:rPr>
          <w:spacing w:val="-17"/>
        </w:rPr>
        <w:t xml:space="preserve"> </w:t>
      </w:r>
      <w:r w:rsidRPr="00B954B2">
        <w:t>to</w:t>
      </w:r>
      <w:r w:rsidRPr="00B954B2">
        <w:rPr>
          <w:spacing w:val="-17"/>
        </w:rPr>
        <w:t xml:space="preserve"> </w:t>
      </w:r>
      <w:r w:rsidRPr="00B954B2">
        <w:t>the</w:t>
      </w:r>
      <w:r w:rsidRPr="00B954B2">
        <w:rPr>
          <w:spacing w:val="-18"/>
        </w:rPr>
        <w:t xml:space="preserve"> </w:t>
      </w:r>
      <w:r w:rsidRPr="00B954B2">
        <w:t>entire</w:t>
      </w:r>
      <w:r w:rsidRPr="00B954B2">
        <w:rPr>
          <w:spacing w:val="-18"/>
        </w:rPr>
        <w:t xml:space="preserve"> </w:t>
      </w:r>
      <w:r w:rsidRPr="00B954B2">
        <w:t>homestead</w:t>
      </w:r>
      <w:r w:rsidRPr="00B954B2">
        <w:rPr>
          <w:spacing w:val="-17"/>
        </w:rPr>
        <w:t xml:space="preserve"> </w:t>
      </w:r>
      <w:r w:rsidRPr="00B954B2">
        <w:t>if</w:t>
      </w:r>
      <w:r w:rsidRPr="00B954B2">
        <w:rPr>
          <w:spacing w:val="-18"/>
        </w:rPr>
        <w:t xml:space="preserve"> </w:t>
      </w:r>
      <w:r w:rsidRPr="00B954B2">
        <w:t>the</w:t>
      </w:r>
      <w:r w:rsidRPr="00B954B2">
        <w:rPr>
          <w:spacing w:val="-18"/>
        </w:rPr>
        <w:t xml:space="preserve"> </w:t>
      </w:r>
      <w:r w:rsidRPr="00B954B2">
        <w:t>Decedent</w:t>
      </w:r>
      <w:r w:rsidRPr="00B954B2">
        <w:rPr>
          <w:spacing w:val="-16"/>
        </w:rPr>
        <w:t xml:space="preserve"> </w:t>
      </w:r>
      <w:r w:rsidRPr="00B954B2">
        <w:t>did</w:t>
      </w:r>
      <w:r w:rsidRPr="00B954B2">
        <w:rPr>
          <w:spacing w:val="-17"/>
        </w:rPr>
        <w:t xml:space="preserve"> </w:t>
      </w:r>
      <w:r w:rsidRPr="00B954B2">
        <w:t>not</w:t>
      </w:r>
      <w:r w:rsidRPr="00B954B2">
        <w:rPr>
          <w:spacing w:val="-19"/>
        </w:rPr>
        <w:t xml:space="preserve"> </w:t>
      </w:r>
      <w:r w:rsidRPr="00B954B2">
        <w:rPr>
          <w:spacing w:val="-3"/>
        </w:rPr>
        <w:t xml:space="preserve">leave </w:t>
      </w:r>
      <w:r w:rsidRPr="00B954B2">
        <w:t>any</w:t>
      </w:r>
      <w:r w:rsidRPr="00B954B2">
        <w:rPr>
          <w:spacing w:val="-17"/>
        </w:rPr>
        <w:t xml:space="preserve"> </w:t>
      </w:r>
      <w:r w:rsidRPr="00B954B2">
        <w:t>surviving</w:t>
      </w:r>
      <w:r w:rsidRPr="00B954B2">
        <w:rPr>
          <w:spacing w:val="-12"/>
        </w:rPr>
        <w:t xml:space="preserve"> </w:t>
      </w:r>
      <w:r w:rsidRPr="00B954B2">
        <w:t>descendants,</w:t>
      </w:r>
      <w:r w:rsidRPr="00B954B2">
        <w:rPr>
          <w:spacing w:val="-9"/>
        </w:rPr>
        <w:t xml:space="preserve"> </w:t>
      </w:r>
      <w:r w:rsidRPr="00B954B2">
        <w:t>or</w:t>
      </w:r>
      <w:r w:rsidRPr="00B954B2">
        <w:rPr>
          <w:spacing w:val="-10"/>
        </w:rPr>
        <w:t xml:space="preserve"> </w:t>
      </w:r>
      <w:r w:rsidRPr="00B954B2">
        <w:t>the</w:t>
      </w:r>
      <w:r w:rsidRPr="00B954B2">
        <w:rPr>
          <w:spacing w:val="-11"/>
        </w:rPr>
        <w:t xml:space="preserve"> </w:t>
      </w:r>
      <w:r w:rsidRPr="00B954B2">
        <w:t>right</w:t>
      </w:r>
      <w:r w:rsidRPr="00B954B2">
        <w:rPr>
          <w:spacing w:val="-9"/>
        </w:rPr>
        <w:t xml:space="preserve"> </w:t>
      </w:r>
      <w:r w:rsidRPr="00B954B2">
        <w:t>to</w:t>
      </w:r>
      <w:r w:rsidRPr="00B954B2">
        <w:rPr>
          <w:spacing w:val="-10"/>
        </w:rPr>
        <w:t xml:space="preserve"> </w:t>
      </w:r>
      <w:r w:rsidRPr="00B954B2">
        <w:t>a</w:t>
      </w:r>
      <w:r w:rsidRPr="00B954B2">
        <w:rPr>
          <w:spacing w:val="-11"/>
        </w:rPr>
        <w:t xml:space="preserve"> </w:t>
      </w:r>
      <w:r w:rsidRPr="00B954B2">
        <w:t>life</w:t>
      </w:r>
      <w:r w:rsidRPr="00B954B2">
        <w:rPr>
          <w:spacing w:val="-11"/>
        </w:rPr>
        <w:t xml:space="preserve"> </w:t>
      </w:r>
      <w:r w:rsidRPr="00B954B2">
        <w:t>estate</w:t>
      </w:r>
      <w:r w:rsidRPr="00B954B2">
        <w:rPr>
          <w:spacing w:val="-11"/>
        </w:rPr>
        <w:t xml:space="preserve"> </w:t>
      </w:r>
      <w:r w:rsidRPr="00B954B2">
        <w:t>if</w:t>
      </w:r>
      <w:r w:rsidRPr="00B954B2">
        <w:rPr>
          <w:spacing w:val="-10"/>
        </w:rPr>
        <w:t xml:space="preserve"> </w:t>
      </w:r>
      <w:r w:rsidRPr="00B954B2">
        <w:t>the</w:t>
      </w:r>
      <w:r w:rsidRPr="00B954B2">
        <w:rPr>
          <w:spacing w:val="-11"/>
        </w:rPr>
        <w:t xml:space="preserve"> </w:t>
      </w:r>
      <w:r w:rsidRPr="00B954B2">
        <w:t>Decedent</w:t>
      </w:r>
      <w:r w:rsidRPr="00B954B2">
        <w:rPr>
          <w:spacing w:val="-9"/>
        </w:rPr>
        <w:t xml:space="preserve"> </w:t>
      </w:r>
      <w:r w:rsidRPr="00B954B2">
        <w:t>left</w:t>
      </w:r>
      <w:r w:rsidRPr="00B954B2">
        <w:rPr>
          <w:spacing w:val="-9"/>
        </w:rPr>
        <w:t xml:space="preserve"> </w:t>
      </w:r>
      <w:r w:rsidRPr="00B954B2">
        <w:t>surviving</w:t>
      </w:r>
      <w:r w:rsidRPr="00B954B2">
        <w:rPr>
          <w:spacing w:val="-14"/>
        </w:rPr>
        <w:t xml:space="preserve"> </w:t>
      </w:r>
      <w:r w:rsidRPr="00B954B2">
        <w:t>descendants.</w:t>
      </w:r>
    </w:p>
    <w:p w14:paraId="1235B9A5" w14:textId="77777777" w:rsidR="003869B7" w:rsidRPr="00B954B2" w:rsidRDefault="003869B7" w:rsidP="0093456C">
      <w:pPr>
        <w:pStyle w:val="ListParagraph"/>
        <w:numPr>
          <w:ilvl w:val="0"/>
          <w:numId w:val="3"/>
        </w:numPr>
        <w:spacing w:after="160" w:line="259" w:lineRule="auto"/>
        <w:ind w:right="-86"/>
      </w:pPr>
      <w:r w:rsidRPr="00B954B2">
        <w:t>The right to allowances under Minn. Stat. § 524.2-403, which allows the surviving spouse the right to select:</w:t>
      </w:r>
    </w:p>
    <w:p w14:paraId="6A617475" w14:textId="7F6F0444" w:rsidR="003869B7" w:rsidRPr="00B954B2" w:rsidRDefault="003869B7" w:rsidP="0093456C">
      <w:pPr>
        <w:pStyle w:val="ListParagraph"/>
        <w:numPr>
          <w:ilvl w:val="1"/>
          <w:numId w:val="3"/>
        </w:numPr>
        <w:spacing w:after="160" w:line="259" w:lineRule="auto"/>
        <w:ind w:right="-86"/>
      </w:pPr>
      <w:r w:rsidRPr="00B954B2">
        <w:t>Household furniture, furnishings,</w:t>
      </w:r>
      <w:r w:rsidRPr="00B954B2">
        <w:rPr>
          <w:spacing w:val="-16"/>
        </w:rPr>
        <w:t xml:space="preserve"> </w:t>
      </w:r>
      <w:r w:rsidRPr="00B954B2">
        <w:t>appliances,</w:t>
      </w:r>
      <w:r w:rsidRPr="00B954B2">
        <w:rPr>
          <w:spacing w:val="-16"/>
        </w:rPr>
        <w:t xml:space="preserve"> </w:t>
      </w:r>
      <w:r w:rsidRPr="00B954B2">
        <w:t>and</w:t>
      </w:r>
      <w:r w:rsidRPr="00B954B2">
        <w:rPr>
          <w:spacing w:val="-16"/>
        </w:rPr>
        <w:t xml:space="preserve"> </w:t>
      </w:r>
      <w:r w:rsidRPr="00B954B2">
        <w:rPr>
          <w:spacing w:val="-3"/>
        </w:rPr>
        <w:t>personal</w:t>
      </w:r>
      <w:r w:rsidRPr="00B954B2">
        <w:rPr>
          <w:spacing w:val="-20"/>
        </w:rPr>
        <w:t xml:space="preserve"> </w:t>
      </w:r>
      <w:r w:rsidRPr="00B954B2">
        <w:rPr>
          <w:spacing w:val="-4"/>
        </w:rPr>
        <w:t>effects</w:t>
      </w:r>
      <w:r w:rsidRPr="00B954B2">
        <w:rPr>
          <w:spacing w:val="-20"/>
        </w:rPr>
        <w:t xml:space="preserve"> </w:t>
      </w:r>
      <w:r w:rsidRPr="00B954B2">
        <w:t>not</w:t>
      </w:r>
      <w:r w:rsidRPr="00B954B2">
        <w:rPr>
          <w:spacing w:val="-20"/>
        </w:rPr>
        <w:t xml:space="preserve"> </w:t>
      </w:r>
      <w:r w:rsidRPr="00B954B2">
        <w:rPr>
          <w:spacing w:val="-3"/>
        </w:rPr>
        <w:t>exceeding</w:t>
      </w:r>
      <w:r w:rsidRPr="00B954B2">
        <w:rPr>
          <w:spacing w:val="-23"/>
        </w:rPr>
        <w:t xml:space="preserve"> </w:t>
      </w:r>
      <w:r w:rsidRPr="00B954B2">
        <w:rPr>
          <w:spacing w:val="-3"/>
        </w:rPr>
        <w:t>$15,000,</w:t>
      </w:r>
      <w:r w:rsidRPr="00B954B2">
        <w:rPr>
          <w:spacing w:val="-21"/>
        </w:rPr>
        <w:t xml:space="preserve"> </w:t>
      </w:r>
      <w:r w:rsidRPr="00B954B2">
        <w:rPr>
          <w:spacing w:val="-3"/>
        </w:rPr>
        <w:t xml:space="preserve">net </w:t>
      </w:r>
      <w:r w:rsidRPr="00B954B2">
        <w:t>of security interests, but subject to an award of sentimental value property under Minn. Stat. § 525.152; provided, however, if the encumbered property and the value in excess of security</w:t>
      </w:r>
      <w:r w:rsidRPr="00B954B2">
        <w:rPr>
          <w:spacing w:val="10"/>
        </w:rPr>
        <w:t xml:space="preserve"> </w:t>
      </w:r>
      <w:r w:rsidRPr="00B954B2">
        <w:t>interests,</w:t>
      </w:r>
      <w:r w:rsidRPr="00B954B2">
        <w:rPr>
          <w:spacing w:val="16"/>
        </w:rPr>
        <w:t xml:space="preserve"> </w:t>
      </w:r>
      <w:r w:rsidRPr="00B954B2">
        <w:t>plus</w:t>
      </w:r>
      <w:r w:rsidRPr="00B954B2">
        <w:rPr>
          <w:spacing w:val="16"/>
        </w:rPr>
        <w:t xml:space="preserve"> </w:t>
      </w:r>
      <w:r w:rsidRPr="00B954B2">
        <w:t>that</w:t>
      </w:r>
      <w:r w:rsidRPr="00B954B2">
        <w:rPr>
          <w:spacing w:val="16"/>
        </w:rPr>
        <w:t xml:space="preserve"> </w:t>
      </w:r>
      <w:r w:rsidRPr="00B954B2">
        <w:t>of</w:t>
      </w:r>
      <w:r w:rsidRPr="00B954B2">
        <w:rPr>
          <w:spacing w:val="15"/>
        </w:rPr>
        <w:t xml:space="preserve"> </w:t>
      </w:r>
      <w:r w:rsidRPr="00B954B2">
        <w:t>other</w:t>
      </w:r>
      <w:r w:rsidRPr="00B954B2">
        <w:rPr>
          <w:spacing w:val="15"/>
        </w:rPr>
        <w:t xml:space="preserve"> </w:t>
      </w:r>
      <w:r w:rsidRPr="00B954B2">
        <w:t>exempt</w:t>
      </w:r>
      <w:r w:rsidRPr="00B954B2">
        <w:rPr>
          <w:spacing w:val="16"/>
        </w:rPr>
        <w:t xml:space="preserve"> </w:t>
      </w:r>
      <w:r w:rsidRPr="00B954B2">
        <w:t>property,</w:t>
      </w:r>
      <w:r w:rsidRPr="00B954B2">
        <w:rPr>
          <w:spacing w:val="16"/>
        </w:rPr>
        <w:t xml:space="preserve"> </w:t>
      </w:r>
      <w:r w:rsidRPr="00B954B2">
        <w:t>is</w:t>
      </w:r>
      <w:r w:rsidRPr="00B954B2">
        <w:rPr>
          <w:spacing w:val="16"/>
        </w:rPr>
        <w:t xml:space="preserve"> </w:t>
      </w:r>
      <w:r w:rsidRPr="00B954B2">
        <w:t>less</w:t>
      </w:r>
      <w:r w:rsidRPr="00B954B2">
        <w:rPr>
          <w:spacing w:val="16"/>
        </w:rPr>
        <w:t xml:space="preserve"> </w:t>
      </w:r>
      <w:r w:rsidRPr="00B954B2">
        <w:t>than</w:t>
      </w:r>
      <w:r w:rsidRPr="00B954B2">
        <w:rPr>
          <w:spacing w:val="16"/>
        </w:rPr>
        <w:t xml:space="preserve"> </w:t>
      </w:r>
      <w:r w:rsidRPr="00B954B2">
        <w:t>$15,000,</w:t>
      </w:r>
      <w:r w:rsidRPr="00B954B2">
        <w:rPr>
          <w:spacing w:val="16"/>
        </w:rPr>
        <w:t xml:space="preserve"> </w:t>
      </w:r>
      <w:r w:rsidRPr="00B954B2">
        <w:t>or</w:t>
      </w:r>
      <w:r w:rsidRPr="00B954B2">
        <w:rPr>
          <w:spacing w:val="13"/>
        </w:rPr>
        <w:t xml:space="preserve"> </w:t>
      </w:r>
      <w:r w:rsidRPr="00B954B2">
        <w:t>if</w:t>
      </w:r>
      <w:r w:rsidRPr="00B954B2">
        <w:rPr>
          <w:spacing w:val="13"/>
        </w:rPr>
        <w:t xml:space="preserve"> </w:t>
      </w:r>
      <w:r w:rsidRPr="00B954B2">
        <w:t>there</w:t>
      </w:r>
      <w:r w:rsidRPr="00B954B2">
        <w:rPr>
          <w:spacing w:val="12"/>
        </w:rPr>
        <w:t xml:space="preserve"> </w:t>
      </w:r>
      <w:r w:rsidRPr="00B954B2">
        <w:t>is</w:t>
      </w:r>
      <w:r w:rsidRPr="00B954B2">
        <w:rPr>
          <w:spacing w:val="15"/>
        </w:rPr>
        <w:t xml:space="preserve"> </w:t>
      </w:r>
      <w:r w:rsidRPr="00B954B2">
        <w:t>not $15,000</w:t>
      </w:r>
      <w:r w:rsidRPr="00B954B2">
        <w:rPr>
          <w:spacing w:val="-16"/>
        </w:rPr>
        <w:t xml:space="preserve"> </w:t>
      </w:r>
      <w:r w:rsidRPr="00B954B2">
        <w:t>worth</w:t>
      </w:r>
      <w:r w:rsidRPr="00B954B2">
        <w:rPr>
          <w:spacing w:val="-16"/>
        </w:rPr>
        <w:t xml:space="preserve"> </w:t>
      </w:r>
      <w:r w:rsidRPr="00B954B2">
        <w:t>of</w:t>
      </w:r>
      <w:r w:rsidRPr="00B954B2">
        <w:rPr>
          <w:spacing w:val="-17"/>
        </w:rPr>
        <w:t xml:space="preserve"> </w:t>
      </w:r>
      <w:r w:rsidRPr="00B954B2">
        <w:t>exempt</w:t>
      </w:r>
      <w:r w:rsidRPr="00B954B2">
        <w:rPr>
          <w:spacing w:val="-15"/>
        </w:rPr>
        <w:t xml:space="preserve"> </w:t>
      </w:r>
      <w:r w:rsidRPr="00B954B2">
        <w:t>property</w:t>
      </w:r>
      <w:r w:rsidRPr="00B954B2">
        <w:rPr>
          <w:spacing w:val="-23"/>
        </w:rPr>
        <w:t xml:space="preserve"> </w:t>
      </w:r>
      <w:r w:rsidRPr="00B954B2">
        <w:t>in</w:t>
      </w:r>
      <w:r w:rsidRPr="00B954B2">
        <w:rPr>
          <w:spacing w:val="-16"/>
        </w:rPr>
        <w:t xml:space="preserve"> </w:t>
      </w:r>
      <w:r w:rsidRPr="00B954B2">
        <w:t>the</w:t>
      </w:r>
      <w:r w:rsidRPr="00B954B2">
        <w:rPr>
          <w:spacing w:val="-17"/>
        </w:rPr>
        <w:t xml:space="preserve"> </w:t>
      </w:r>
      <w:r w:rsidRPr="00B954B2">
        <w:t>Estate,</w:t>
      </w:r>
      <w:r w:rsidRPr="00B954B2">
        <w:rPr>
          <w:spacing w:val="-21"/>
        </w:rPr>
        <w:t xml:space="preserve"> </w:t>
      </w:r>
      <w:r w:rsidRPr="00B954B2">
        <w:t>the</w:t>
      </w:r>
      <w:r w:rsidRPr="00B954B2">
        <w:rPr>
          <w:spacing w:val="-22"/>
        </w:rPr>
        <w:t xml:space="preserve"> </w:t>
      </w:r>
      <w:r w:rsidRPr="00B954B2">
        <w:rPr>
          <w:spacing w:val="-3"/>
        </w:rPr>
        <w:t>surviving</w:t>
      </w:r>
      <w:r w:rsidRPr="00B954B2">
        <w:rPr>
          <w:spacing w:val="-23"/>
        </w:rPr>
        <w:t xml:space="preserve"> </w:t>
      </w:r>
      <w:r w:rsidRPr="00B954B2">
        <w:rPr>
          <w:spacing w:val="-3"/>
        </w:rPr>
        <w:t>spouse</w:t>
      </w:r>
      <w:r w:rsidRPr="00B954B2">
        <w:rPr>
          <w:spacing w:val="-22"/>
        </w:rPr>
        <w:t xml:space="preserve"> </w:t>
      </w:r>
      <w:r w:rsidRPr="00B954B2">
        <w:t>is</w:t>
      </w:r>
      <w:r w:rsidRPr="00B954B2">
        <w:rPr>
          <w:spacing w:val="-20"/>
        </w:rPr>
        <w:t xml:space="preserve"> </w:t>
      </w:r>
      <w:r w:rsidRPr="00B954B2">
        <w:rPr>
          <w:spacing w:val="-3"/>
        </w:rPr>
        <w:t>entitled</w:t>
      </w:r>
      <w:r w:rsidRPr="00B954B2">
        <w:rPr>
          <w:spacing w:val="-21"/>
        </w:rPr>
        <w:t xml:space="preserve"> </w:t>
      </w:r>
      <w:r w:rsidRPr="00B954B2">
        <w:t>to</w:t>
      </w:r>
      <w:r w:rsidRPr="00B954B2">
        <w:rPr>
          <w:spacing w:val="-21"/>
        </w:rPr>
        <w:t xml:space="preserve"> </w:t>
      </w:r>
      <w:r w:rsidRPr="00B954B2">
        <w:rPr>
          <w:spacing w:val="-3"/>
        </w:rPr>
        <w:t>other</w:t>
      </w:r>
      <w:r w:rsidRPr="00B954B2">
        <w:rPr>
          <w:spacing w:val="-21"/>
        </w:rPr>
        <w:t xml:space="preserve"> </w:t>
      </w:r>
      <w:r w:rsidRPr="00B954B2">
        <w:rPr>
          <w:spacing w:val="-3"/>
        </w:rPr>
        <w:t xml:space="preserve">personal </w:t>
      </w:r>
      <w:r w:rsidRPr="00B954B2">
        <w:t xml:space="preserve">property of the Estate, if </w:t>
      </w:r>
      <w:r w:rsidRPr="00B954B2">
        <w:rPr>
          <w:spacing w:val="-3"/>
        </w:rPr>
        <w:t xml:space="preserve">any, </w:t>
      </w:r>
      <w:r w:rsidRPr="00B954B2">
        <w:t>to the extent necessary to make up the $15,000 value; and</w:t>
      </w:r>
    </w:p>
    <w:p w14:paraId="2AAE6540" w14:textId="60F1AB72" w:rsidR="003869B7" w:rsidRPr="00B954B2" w:rsidRDefault="003869B7" w:rsidP="0093456C">
      <w:pPr>
        <w:pStyle w:val="ListParagraph"/>
        <w:numPr>
          <w:ilvl w:val="1"/>
          <w:numId w:val="3"/>
        </w:numPr>
        <w:spacing w:after="160" w:line="259" w:lineRule="auto"/>
        <w:ind w:right="-86"/>
      </w:pPr>
      <w:r w:rsidRPr="00B954B2">
        <w:t>One automobile, if any, without regard to value.</w:t>
      </w:r>
    </w:p>
    <w:p w14:paraId="3DBDC4C2" w14:textId="5D94BA87" w:rsidR="007E4C86" w:rsidRPr="00B954B2" w:rsidRDefault="003869B7" w:rsidP="0093456C">
      <w:pPr>
        <w:pStyle w:val="ListParagraph"/>
        <w:numPr>
          <w:ilvl w:val="0"/>
          <w:numId w:val="3"/>
        </w:numPr>
        <w:spacing w:after="160" w:line="259" w:lineRule="auto"/>
        <w:ind w:right="-86"/>
      </w:pPr>
      <w:r w:rsidRPr="00B954B2">
        <w:t xml:space="preserve">The right to a family allowance from the Estate under Minn. Stat. § </w:t>
      </w:r>
      <w:r w:rsidR="00F2427F" w:rsidRPr="00B954B2">
        <w:t>524.2-404</w:t>
      </w:r>
      <w:r w:rsidR="00F2427F" w:rsidRPr="00B954B2">
        <w:rPr>
          <w:spacing w:val="-17"/>
        </w:rPr>
        <w:t xml:space="preserve"> </w:t>
      </w:r>
      <w:r w:rsidR="00F2427F" w:rsidRPr="00B954B2">
        <w:t>of</w:t>
      </w:r>
      <w:r w:rsidR="00F2427F" w:rsidRPr="00B954B2">
        <w:rPr>
          <w:spacing w:val="-18"/>
        </w:rPr>
        <w:t xml:space="preserve"> </w:t>
      </w:r>
      <w:r w:rsidR="00F2427F" w:rsidRPr="00B954B2">
        <w:t>up</w:t>
      </w:r>
      <w:r w:rsidR="00F2427F" w:rsidRPr="00B954B2">
        <w:rPr>
          <w:spacing w:val="-17"/>
        </w:rPr>
        <w:t xml:space="preserve"> </w:t>
      </w:r>
      <w:r w:rsidR="00F2427F" w:rsidRPr="00B954B2">
        <w:t>to</w:t>
      </w:r>
      <w:r w:rsidR="00F2427F" w:rsidRPr="00B954B2">
        <w:rPr>
          <w:spacing w:val="-17"/>
        </w:rPr>
        <w:t xml:space="preserve"> </w:t>
      </w:r>
      <w:r w:rsidR="00F2427F" w:rsidRPr="00B954B2">
        <w:t>$2,300 per month (or more if authorized by the court) for one year if the Estate is insolvent, or for 18 months if the Estate is solvent.</w:t>
      </w:r>
    </w:p>
    <w:p w14:paraId="50E55704" w14:textId="6A9D113D" w:rsidR="00F2427F" w:rsidRPr="00B954B2" w:rsidRDefault="00F2427F" w:rsidP="00F2427F">
      <w:pPr>
        <w:spacing w:after="160" w:line="259" w:lineRule="auto"/>
        <w:ind w:right="-90"/>
        <w:rPr>
          <w:b/>
          <w:sz w:val="22"/>
          <w:szCs w:val="22"/>
        </w:rPr>
      </w:pPr>
      <w:r w:rsidRPr="00B954B2">
        <w:rPr>
          <w:b/>
          <w:sz w:val="22"/>
          <w:szCs w:val="22"/>
        </w:rPr>
        <w:t>Minor Children of the Decedent:</w:t>
      </w:r>
    </w:p>
    <w:p w14:paraId="34320C29" w14:textId="6E758A26" w:rsidR="007E4C86" w:rsidRPr="00B954B2" w:rsidRDefault="00F2427F" w:rsidP="0093456C">
      <w:pPr>
        <w:pStyle w:val="ListParagraph"/>
        <w:numPr>
          <w:ilvl w:val="0"/>
          <w:numId w:val="3"/>
        </w:numPr>
        <w:spacing w:after="160" w:line="259" w:lineRule="auto"/>
        <w:ind w:right="-86"/>
      </w:pPr>
      <w:r w:rsidRPr="00B954B2">
        <w:rPr>
          <w:i/>
        </w:rPr>
        <w:t xml:space="preserve">If the Decedent had an obligation to support you:  </w:t>
      </w:r>
      <w:r w:rsidRPr="00B954B2">
        <w:t>The right to a family allowance from the Estate under Minn. Stat. § 524.2-404 of up to $2,300 per month (or more if authorized by the court) for one year if the Estate is insolvent, or for 18 months if the Estate is solvent.</w:t>
      </w:r>
    </w:p>
    <w:p w14:paraId="5CD3B51A" w14:textId="0B52B1D4" w:rsidR="0094417A" w:rsidRPr="00B954B2" w:rsidRDefault="0094417A" w:rsidP="0094417A">
      <w:pPr>
        <w:spacing w:after="160" w:line="259" w:lineRule="auto"/>
        <w:ind w:right="-90"/>
        <w:rPr>
          <w:b/>
          <w:sz w:val="22"/>
          <w:szCs w:val="22"/>
        </w:rPr>
      </w:pPr>
      <w:r w:rsidRPr="00B954B2">
        <w:rPr>
          <w:b/>
          <w:sz w:val="22"/>
          <w:szCs w:val="22"/>
        </w:rPr>
        <w:t>Adult Children of Decedent:</w:t>
      </w:r>
    </w:p>
    <w:p w14:paraId="7F0957E2" w14:textId="64696D47" w:rsidR="007E4C86" w:rsidRPr="00B954B2" w:rsidRDefault="00F2427F" w:rsidP="00B954B2">
      <w:pPr>
        <w:pStyle w:val="ListParagraph"/>
        <w:numPr>
          <w:ilvl w:val="0"/>
          <w:numId w:val="3"/>
        </w:numPr>
        <w:spacing w:after="160" w:line="259" w:lineRule="auto"/>
        <w:ind w:right="-86"/>
      </w:pPr>
      <w:r w:rsidRPr="00B954B2">
        <w:rPr>
          <w:i/>
        </w:rPr>
        <w:t xml:space="preserve">If you were being supported by the Decedent: </w:t>
      </w:r>
      <w:r w:rsidRPr="00B954B2">
        <w:t xml:space="preserve"> The right to a family allowance from the Estate under Minn. Stat. § 524.2-404</w:t>
      </w:r>
      <w:r w:rsidRPr="00B954B2">
        <w:rPr>
          <w:spacing w:val="-11"/>
        </w:rPr>
        <w:t xml:space="preserve"> </w:t>
      </w:r>
      <w:r w:rsidRPr="00B954B2">
        <w:t>of</w:t>
      </w:r>
      <w:r w:rsidRPr="00B954B2">
        <w:rPr>
          <w:spacing w:val="-12"/>
        </w:rPr>
        <w:t xml:space="preserve"> </w:t>
      </w:r>
      <w:r w:rsidRPr="00B954B2">
        <w:t>up</w:t>
      </w:r>
      <w:r w:rsidRPr="00B954B2">
        <w:rPr>
          <w:spacing w:val="-11"/>
        </w:rPr>
        <w:t xml:space="preserve"> </w:t>
      </w:r>
      <w:r w:rsidRPr="00B954B2">
        <w:t>to</w:t>
      </w:r>
      <w:r w:rsidRPr="00B954B2">
        <w:rPr>
          <w:spacing w:val="-11"/>
        </w:rPr>
        <w:t xml:space="preserve"> </w:t>
      </w:r>
      <w:r w:rsidRPr="00B954B2">
        <w:t>$2,300</w:t>
      </w:r>
      <w:r w:rsidRPr="00B954B2">
        <w:rPr>
          <w:spacing w:val="-11"/>
        </w:rPr>
        <w:t xml:space="preserve"> </w:t>
      </w:r>
      <w:r w:rsidRPr="00B954B2">
        <w:t>(or</w:t>
      </w:r>
      <w:r w:rsidRPr="00B954B2">
        <w:rPr>
          <w:spacing w:val="-12"/>
        </w:rPr>
        <w:t xml:space="preserve"> </w:t>
      </w:r>
      <w:r w:rsidRPr="00B954B2">
        <w:t>more</w:t>
      </w:r>
      <w:r w:rsidRPr="00B954B2">
        <w:rPr>
          <w:spacing w:val="-12"/>
        </w:rPr>
        <w:t xml:space="preserve"> </w:t>
      </w:r>
      <w:r w:rsidRPr="00B954B2">
        <w:t>if</w:t>
      </w:r>
      <w:r w:rsidRPr="00B954B2">
        <w:rPr>
          <w:spacing w:val="-12"/>
        </w:rPr>
        <w:t xml:space="preserve"> </w:t>
      </w:r>
      <w:r w:rsidRPr="00B954B2">
        <w:t>authorized</w:t>
      </w:r>
      <w:r w:rsidRPr="00B954B2">
        <w:rPr>
          <w:spacing w:val="-11"/>
        </w:rPr>
        <w:t xml:space="preserve"> </w:t>
      </w:r>
      <w:r w:rsidRPr="00B954B2">
        <w:t>by</w:t>
      </w:r>
      <w:r w:rsidRPr="00B954B2">
        <w:rPr>
          <w:spacing w:val="-18"/>
        </w:rPr>
        <w:t xml:space="preserve"> </w:t>
      </w:r>
      <w:r w:rsidRPr="00B954B2">
        <w:t>the</w:t>
      </w:r>
      <w:r w:rsidRPr="00B954B2">
        <w:rPr>
          <w:spacing w:val="-12"/>
        </w:rPr>
        <w:t xml:space="preserve"> </w:t>
      </w:r>
      <w:r w:rsidRPr="00B954B2">
        <w:t>court)</w:t>
      </w:r>
      <w:r w:rsidRPr="00B954B2">
        <w:rPr>
          <w:spacing w:val="-12"/>
        </w:rPr>
        <w:t xml:space="preserve"> </w:t>
      </w:r>
      <w:r w:rsidRPr="00B954B2">
        <w:t>per</w:t>
      </w:r>
      <w:r w:rsidRPr="00B954B2">
        <w:rPr>
          <w:spacing w:val="-12"/>
        </w:rPr>
        <w:t xml:space="preserve"> </w:t>
      </w:r>
      <w:r w:rsidRPr="00B954B2">
        <w:t>month</w:t>
      </w:r>
      <w:r w:rsidRPr="00B954B2">
        <w:rPr>
          <w:spacing w:val="-11"/>
        </w:rPr>
        <w:t xml:space="preserve"> </w:t>
      </w:r>
      <w:r w:rsidRPr="00B954B2">
        <w:t xml:space="preserve">for one </w:t>
      </w:r>
      <w:r w:rsidRPr="00B954B2">
        <w:rPr>
          <w:spacing w:val="-3"/>
        </w:rPr>
        <w:t xml:space="preserve">year </w:t>
      </w:r>
      <w:r w:rsidRPr="00B954B2">
        <w:t>if the Estate is insolvent or for 18 months if the Estate is</w:t>
      </w:r>
      <w:r w:rsidRPr="00B954B2">
        <w:rPr>
          <w:spacing w:val="-9"/>
        </w:rPr>
        <w:t xml:space="preserve"> </w:t>
      </w:r>
      <w:r w:rsidRPr="00B954B2">
        <w:t>solvent.</w:t>
      </w:r>
    </w:p>
    <w:p w14:paraId="7E7CD6B9" w14:textId="7D9634F1" w:rsidR="0094417A" w:rsidRPr="00B954B2" w:rsidRDefault="0094417A" w:rsidP="0094417A">
      <w:pPr>
        <w:spacing w:after="160" w:line="259" w:lineRule="auto"/>
        <w:ind w:right="-90"/>
        <w:rPr>
          <w:b/>
          <w:sz w:val="22"/>
          <w:szCs w:val="22"/>
        </w:rPr>
      </w:pPr>
      <w:r w:rsidRPr="00B954B2">
        <w:rPr>
          <w:b/>
          <w:sz w:val="22"/>
          <w:szCs w:val="22"/>
        </w:rPr>
        <w:lastRenderedPageBreak/>
        <w:t>Minor and Adult Children of Decedent:</w:t>
      </w:r>
    </w:p>
    <w:p w14:paraId="271B36A4" w14:textId="77777777" w:rsidR="0094417A" w:rsidRPr="00B954B2" w:rsidRDefault="0094417A" w:rsidP="00B954B2">
      <w:pPr>
        <w:pStyle w:val="ListParagraph"/>
        <w:numPr>
          <w:ilvl w:val="0"/>
          <w:numId w:val="3"/>
        </w:numPr>
        <w:spacing w:after="160" w:line="259" w:lineRule="auto"/>
        <w:ind w:right="-86"/>
      </w:pPr>
      <w:r w:rsidRPr="00B954B2">
        <w:rPr>
          <w:i/>
        </w:rPr>
        <w:t xml:space="preserve">If there is no surviving spouse: </w:t>
      </w:r>
      <w:r w:rsidRPr="00B954B2">
        <w:t>The right to allowances under Minn. Stat. § 524.2-403:</w:t>
      </w:r>
    </w:p>
    <w:p w14:paraId="6D54FFC8" w14:textId="47C1C958" w:rsidR="0094417A" w:rsidRPr="00B954B2" w:rsidRDefault="0094417A" w:rsidP="00B954B2">
      <w:pPr>
        <w:pStyle w:val="ListParagraph"/>
        <w:numPr>
          <w:ilvl w:val="1"/>
          <w:numId w:val="3"/>
        </w:numPr>
        <w:spacing w:after="160" w:line="259" w:lineRule="auto"/>
        <w:ind w:right="-86"/>
      </w:pPr>
      <w:r w:rsidRPr="00B954B2">
        <w:t>Household furniture,</w:t>
      </w:r>
      <w:r w:rsidRPr="00B954B2">
        <w:rPr>
          <w:spacing w:val="-15"/>
        </w:rPr>
        <w:t xml:space="preserve"> </w:t>
      </w:r>
      <w:r w:rsidRPr="00B954B2">
        <w:t>furnishings,</w:t>
      </w:r>
      <w:r w:rsidRPr="00B954B2">
        <w:rPr>
          <w:spacing w:val="-15"/>
        </w:rPr>
        <w:t xml:space="preserve"> </w:t>
      </w:r>
      <w:r w:rsidRPr="00B954B2">
        <w:t>appliances,</w:t>
      </w:r>
      <w:r w:rsidRPr="00B954B2">
        <w:rPr>
          <w:spacing w:val="-18"/>
        </w:rPr>
        <w:t xml:space="preserve"> </w:t>
      </w:r>
      <w:r w:rsidRPr="00B954B2">
        <w:t>and</w:t>
      </w:r>
      <w:r w:rsidRPr="00B954B2">
        <w:rPr>
          <w:spacing w:val="-18"/>
        </w:rPr>
        <w:t xml:space="preserve"> </w:t>
      </w:r>
      <w:r w:rsidRPr="00B954B2">
        <w:t>personal</w:t>
      </w:r>
      <w:r w:rsidRPr="00B954B2">
        <w:rPr>
          <w:spacing w:val="-17"/>
        </w:rPr>
        <w:t xml:space="preserve"> </w:t>
      </w:r>
      <w:r w:rsidRPr="00B954B2">
        <w:t>effects</w:t>
      </w:r>
      <w:r w:rsidRPr="00B954B2">
        <w:rPr>
          <w:spacing w:val="-18"/>
        </w:rPr>
        <w:t xml:space="preserve"> </w:t>
      </w:r>
      <w:r w:rsidRPr="00B954B2">
        <w:t>not</w:t>
      </w:r>
      <w:r w:rsidRPr="00B954B2">
        <w:rPr>
          <w:spacing w:val="-17"/>
        </w:rPr>
        <w:t xml:space="preserve"> </w:t>
      </w:r>
      <w:r w:rsidRPr="00B954B2">
        <w:t>exceeding</w:t>
      </w:r>
      <w:r w:rsidRPr="00B954B2">
        <w:rPr>
          <w:spacing w:val="-20"/>
        </w:rPr>
        <w:t xml:space="preserve"> </w:t>
      </w:r>
      <w:r w:rsidRPr="00B954B2">
        <w:t>$15,000,</w:t>
      </w:r>
      <w:r w:rsidRPr="00B954B2">
        <w:rPr>
          <w:spacing w:val="-18"/>
        </w:rPr>
        <w:t xml:space="preserve"> </w:t>
      </w:r>
      <w:r w:rsidRPr="00B954B2">
        <w:t>net of security interests, but subject to an award of sentimental value property under Minnesota Statutes 525.152; provided, however, if the encumbered property and the value in excess of security</w:t>
      </w:r>
      <w:r w:rsidRPr="00B954B2">
        <w:rPr>
          <w:spacing w:val="16"/>
        </w:rPr>
        <w:t xml:space="preserve"> </w:t>
      </w:r>
      <w:r w:rsidRPr="00B954B2">
        <w:t>interests,</w:t>
      </w:r>
      <w:r w:rsidRPr="00B954B2">
        <w:rPr>
          <w:spacing w:val="23"/>
        </w:rPr>
        <w:t xml:space="preserve"> </w:t>
      </w:r>
      <w:r w:rsidRPr="00B954B2">
        <w:t>plus</w:t>
      </w:r>
      <w:r w:rsidRPr="00B954B2">
        <w:rPr>
          <w:spacing w:val="23"/>
        </w:rPr>
        <w:t xml:space="preserve"> </w:t>
      </w:r>
      <w:r w:rsidRPr="00B954B2">
        <w:t>that</w:t>
      </w:r>
      <w:r w:rsidRPr="00B954B2">
        <w:rPr>
          <w:spacing w:val="23"/>
        </w:rPr>
        <w:t xml:space="preserve"> </w:t>
      </w:r>
      <w:r w:rsidRPr="00B954B2">
        <w:t>of</w:t>
      </w:r>
      <w:r w:rsidRPr="00B954B2">
        <w:rPr>
          <w:spacing w:val="22"/>
        </w:rPr>
        <w:t xml:space="preserve"> </w:t>
      </w:r>
      <w:r w:rsidRPr="00B954B2">
        <w:t>other</w:t>
      </w:r>
      <w:r w:rsidRPr="00B954B2">
        <w:rPr>
          <w:spacing w:val="22"/>
        </w:rPr>
        <w:t xml:space="preserve"> </w:t>
      </w:r>
      <w:r w:rsidRPr="00B954B2">
        <w:t>exempt</w:t>
      </w:r>
      <w:r w:rsidRPr="00B954B2">
        <w:rPr>
          <w:spacing w:val="23"/>
        </w:rPr>
        <w:t xml:space="preserve"> </w:t>
      </w:r>
      <w:r w:rsidRPr="00B954B2">
        <w:t>property,</w:t>
      </w:r>
      <w:r w:rsidRPr="00B954B2">
        <w:rPr>
          <w:spacing w:val="23"/>
        </w:rPr>
        <w:t xml:space="preserve"> </w:t>
      </w:r>
      <w:r w:rsidRPr="00B954B2">
        <w:t>is</w:t>
      </w:r>
      <w:r w:rsidRPr="00B954B2">
        <w:rPr>
          <w:spacing w:val="23"/>
        </w:rPr>
        <w:t xml:space="preserve"> </w:t>
      </w:r>
      <w:r w:rsidRPr="00B954B2">
        <w:t>less</w:t>
      </w:r>
      <w:r w:rsidRPr="00B954B2">
        <w:rPr>
          <w:spacing w:val="23"/>
        </w:rPr>
        <w:t xml:space="preserve"> </w:t>
      </w:r>
      <w:r w:rsidRPr="00B954B2">
        <w:t>than</w:t>
      </w:r>
      <w:r w:rsidRPr="00B954B2">
        <w:rPr>
          <w:spacing w:val="23"/>
        </w:rPr>
        <w:t xml:space="preserve"> </w:t>
      </w:r>
      <w:r w:rsidRPr="00B954B2">
        <w:t>$15,000,</w:t>
      </w:r>
      <w:r w:rsidRPr="00B954B2">
        <w:rPr>
          <w:spacing w:val="23"/>
        </w:rPr>
        <w:t xml:space="preserve"> </w:t>
      </w:r>
      <w:r w:rsidRPr="00B954B2">
        <w:t>or</w:t>
      </w:r>
      <w:r w:rsidRPr="00B954B2">
        <w:rPr>
          <w:spacing w:val="20"/>
        </w:rPr>
        <w:t xml:space="preserve"> </w:t>
      </w:r>
      <w:r w:rsidRPr="00B954B2">
        <w:t>if</w:t>
      </w:r>
      <w:r w:rsidRPr="00B954B2">
        <w:rPr>
          <w:spacing w:val="20"/>
        </w:rPr>
        <w:t xml:space="preserve"> </w:t>
      </w:r>
      <w:r w:rsidRPr="00B954B2">
        <w:t>there</w:t>
      </w:r>
      <w:r w:rsidRPr="00B954B2">
        <w:rPr>
          <w:spacing w:val="20"/>
        </w:rPr>
        <w:t xml:space="preserve"> </w:t>
      </w:r>
      <w:r w:rsidRPr="00B954B2">
        <w:t>is</w:t>
      </w:r>
      <w:r w:rsidRPr="00B954B2">
        <w:rPr>
          <w:spacing w:val="21"/>
        </w:rPr>
        <w:t xml:space="preserve"> </w:t>
      </w:r>
      <w:r w:rsidRPr="00B954B2">
        <w:t>not $15,000 worth of exempt property in the Estate, the children are entitled to other personal property of the Estate, if any, to the extent necessary to make up the $15,000 value; and</w:t>
      </w:r>
    </w:p>
    <w:p w14:paraId="5346373C" w14:textId="64568CA7" w:rsidR="0094417A" w:rsidRPr="00B954B2" w:rsidRDefault="0094417A" w:rsidP="00B954B2">
      <w:pPr>
        <w:pStyle w:val="ListParagraph"/>
        <w:numPr>
          <w:ilvl w:val="1"/>
          <w:numId w:val="3"/>
        </w:numPr>
        <w:spacing w:after="160" w:line="259" w:lineRule="auto"/>
        <w:ind w:right="-86"/>
      </w:pPr>
      <w:r w:rsidRPr="00B954B2">
        <w:t xml:space="preserve">One automobile, if any, without regard to value; </w:t>
      </w:r>
      <w:r w:rsidRPr="00B954B2">
        <w:rPr>
          <w:i/>
        </w:rPr>
        <w:t>however, for Adult Children of the Decedent</w:t>
      </w:r>
      <w:r w:rsidRPr="00B954B2">
        <w:t>, these allowances shall NOT have precedence over a claim under Minn. Stat. §§ 246.53, 256B.15, 256D.16, 261.04 or 524.3-805, paragraph (a), clause (1), (2), or (3), nor shall a child have this allowance if the child has been intentionally omitted from Decedent’s</w:t>
      </w:r>
      <w:r w:rsidRPr="00B954B2">
        <w:rPr>
          <w:spacing w:val="-1"/>
        </w:rPr>
        <w:t xml:space="preserve"> </w:t>
      </w:r>
      <w:r w:rsidRPr="00B954B2">
        <w:t>Will.</w:t>
      </w:r>
    </w:p>
    <w:p w14:paraId="437B180D" w14:textId="56E04474" w:rsidR="0094417A" w:rsidRPr="00B954B2" w:rsidRDefault="0094417A" w:rsidP="0094417A">
      <w:pPr>
        <w:spacing w:after="160" w:line="259" w:lineRule="auto"/>
        <w:ind w:right="-90"/>
        <w:rPr>
          <w:sz w:val="22"/>
          <w:szCs w:val="22"/>
        </w:rPr>
      </w:pPr>
      <w:r w:rsidRPr="00B954B2">
        <w:rPr>
          <w:sz w:val="22"/>
          <w:szCs w:val="22"/>
        </w:rPr>
        <w:t>If you have questions about what these statutes or rights mean, please talk to an attorney of your choice or the attorney for the Personal Representative (if any).  You can get copies of the Minnesota statutes from any of the following:</w:t>
      </w:r>
    </w:p>
    <w:p w14:paraId="1A62AF00" w14:textId="5D7A329C" w:rsidR="0094417A" w:rsidRPr="00B954B2" w:rsidRDefault="0094417A" w:rsidP="00B954B2">
      <w:pPr>
        <w:pStyle w:val="ListParagraph"/>
        <w:numPr>
          <w:ilvl w:val="0"/>
          <w:numId w:val="4"/>
        </w:numPr>
        <w:spacing w:after="160" w:line="259" w:lineRule="auto"/>
        <w:ind w:right="-86"/>
        <w:contextualSpacing/>
      </w:pPr>
      <w:r w:rsidRPr="00B954B2">
        <w:t>The Personal Representative (see contact information below),</w:t>
      </w:r>
    </w:p>
    <w:p w14:paraId="15AB627C" w14:textId="20CD6A8F" w:rsidR="0094417A" w:rsidRPr="00B954B2" w:rsidRDefault="0094417A" w:rsidP="00B954B2">
      <w:pPr>
        <w:pStyle w:val="ListParagraph"/>
        <w:numPr>
          <w:ilvl w:val="0"/>
          <w:numId w:val="4"/>
        </w:numPr>
        <w:spacing w:after="160" w:line="259" w:lineRule="auto"/>
        <w:ind w:right="-86"/>
        <w:contextualSpacing/>
      </w:pPr>
      <w:r w:rsidRPr="00B954B2">
        <w:t xml:space="preserve">Office of the </w:t>
      </w:r>
      <w:proofErr w:type="spellStart"/>
      <w:r w:rsidRPr="00B954B2">
        <w:t>Revisor</w:t>
      </w:r>
      <w:proofErr w:type="spellEnd"/>
      <w:r w:rsidRPr="00B954B2">
        <w:t xml:space="preserve"> of Statutes’ website (</w:t>
      </w:r>
      <w:hyperlink r:id="rId11" w:history="1">
        <w:r w:rsidRPr="00B954B2">
          <w:rPr>
            <w:rStyle w:val="Hyperlink"/>
          </w:rPr>
          <w:t>https://www.revisor.mn.gov/pubs/</w:t>
        </w:r>
      </w:hyperlink>
      <w:r w:rsidRPr="00B954B2">
        <w:t xml:space="preserve">), </w:t>
      </w:r>
      <w:r w:rsidR="007E4C86" w:rsidRPr="00B954B2">
        <w:t>and</w:t>
      </w:r>
    </w:p>
    <w:p w14:paraId="79877AAD" w14:textId="09F2B03C" w:rsidR="0094417A" w:rsidRPr="00B954B2" w:rsidRDefault="0094417A" w:rsidP="00B954B2">
      <w:pPr>
        <w:pStyle w:val="ListParagraph"/>
        <w:numPr>
          <w:ilvl w:val="0"/>
          <w:numId w:val="4"/>
        </w:numPr>
        <w:spacing w:after="160" w:line="259" w:lineRule="auto"/>
        <w:ind w:right="-86"/>
        <w:contextualSpacing/>
      </w:pPr>
      <w:r w:rsidRPr="00B954B2">
        <w:t>Local county law library (</w:t>
      </w:r>
      <w:hyperlink r:id="rId12" w:history="1">
        <w:r w:rsidRPr="00B954B2">
          <w:rPr>
            <w:rStyle w:val="Hyperlink"/>
          </w:rPr>
          <w:t>https://mn.gov/law-library/research-links/county-law-libraries.jsp</w:t>
        </w:r>
      </w:hyperlink>
      <w:r w:rsidR="007E4C86" w:rsidRPr="00B954B2">
        <w:t>).</w:t>
      </w:r>
    </w:p>
    <w:p w14:paraId="5D0728B6" w14:textId="77777777" w:rsidR="007E4C86" w:rsidRPr="00B954B2" w:rsidRDefault="007E4C86" w:rsidP="007E4C86">
      <w:pPr>
        <w:spacing w:after="160" w:line="259" w:lineRule="auto"/>
        <w:ind w:right="-90"/>
        <w:rPr>
          <w:sz w:val="22"/>
          <w:szCs w:val="22"/>
        </w:rPr>
      </w:pPr>
    </w:p>
    <w:p w14:paraId="1081D814" w14:textId="77777777" w:rsidR="007E4C86" w:rsidRPr="00B954B2" w:rsidRDefault="007E4C86" w:rsidP="007E4C86">
      <w:pPr>
        <w:spacing w:after="160" w:line="259" w:lineRule="auto"/>
        <w:ind w:right="-90"/>
        <w:rPr>
          <w:sz w:val="22"/>
          <w:szCs w:val="22"/>
        </w:rPr>
      </w:pPr>
    </w:p>
    <w:tbl>
      <w:tblPr>
        <w:tblStyle w:val="TableGrid"/>
        <w:tblW w:w="0" w:type="auto"/>
        <w:tblLayout w:type="fixed"/>
        <w:tblLook w:val="04A0" w:firstRow="1" w:lastRow="0" w:firstColumn="1" w:lastColumn="0" w:noHBand="0" w:noVBand="1"/>
      </w:tblPr>
      <w:tblGrid>
        <w:gridCol w:w="3154"/>
        <w:gridCol w:w="1872"/>
        <w:gridCol w:w="4320"/>
      </w:tblGrid>
      <w:tr w:rsidR="007E4C86" w:rsidRPr="00B954B2" w14:paraId="41D7B838" w14:textId="77777777" w:rsidTr="007E4C86">
        <w:tc>
          <w:tcPr>
            <w:tcW w:w="3154" w:type="dxa"/>
            <w:tcBorders>
              <w:top w:val="single" w:sz="4" w:space="0" w:color="auto"/>
              <w:left w:val="nil"/>
              <w:bottom w:val="nil"/>
              <w:right w:val="nil"/>
            </w:tcBorders>
          </w:tcPr>
          <w:p w14:paraId="12A3FE69" w14:textId="77777777" w:rsidR="007E4C86" w:rsidRPr="00B954B2" w:rsidRDefault="007E4C86" w:rsidP="00F36994">
            <w:pPr>
              <w:pStyle w:val="BodyText"/>
              <w:rPr>
                <w:sz w:val="22"/>
                <w:szCs w:val="22"/>
              </w:rPr>
            </w:pPr>
            <w:r w:rsidRPr="00B954B2">
              <w:rPr>
                <w:sz w:val="22"/>
                <w:szCs w:val="22"/>
              </w:rPr>
              <w:t>Dated</w:t>
            </w:r>
          </w:p>
        </w:tc>
        <w:tc>
          <w:tcPr>
            <w:tcW w:w="1872" w:type="dxa"/>
            <w:tcBorders>
              <w:top w:val="nil"/>
              <w:left w:val="nil"/>
              <w:bottom w:val="nil"/>
              <w:right w:val="nil"/>
            </w:tcBorders>
          </w:tcPr>
          <w:p w14:paraId="3863C19C" w14:textId="77777777" w:rsidR="007E4C86" w:rsidRPr="00B954B2" w:rsidRDefault="007E4C86" w:rsidP="00F36994">
            <w:pPr>
              <w:pStyle w:val="BodyText"/>
              <w:rPr>
                <w:sz w:val="22"/>
                <w:szCs w:val="22"/>
              </w:rPr>
            </w:pPr>
          </w:p>
        </w:tc>
        <w:tc>
          <w:tcPr>
            <w:tcW w:w="4320" w:type="dxa"/>
            <w:tcBorders>
              <w:top w:val="single" w:sz="4" w:space="0" w:color="auto"/>
              <w:left w:val="nil"/>
              <w:bottom w:val="nil"/>
              <w:right w:val="nil"/>
            </w:tcBorders>
          </w:tcPr>
          <w:p w14:paraId="660751BD" w14:textId="5A44A043" w:rsidR="007E4C86" w:rsidRPr="00B954B2" w:rsidRDefault="00B954B2" w:rsidP="00F36994">
            <w:pPr>
              <w:pStyle w:val="BodyText"/>
              <w:rPr>
                <w:sz w:val="22"/>
                <w:szCs w:val="22"/>
              </w:rPr>
            </w:pPr>
            <w:r w:rsidRPr="00B954B2">
              <w:rPr>
                <w:sz w:val="22"/>
                <w:szCs w:val="22"/>
              </w:rPr>
              <w:t xml:space="preserve">Applicant / </w:t>
            </w:r>
            <w:r w:rsidR="007E4C86" w:rsidRPr="00B954B2">
              <w:rPr>
                <w:sz w:val="22"/>
                <w:szCs w:val="22"/>
              </w:rPr>
              <w:t>Personal Representative</w:t>
            </w:r>
          </w:p>
        </w:tc>
      </w:tr>
      <w:tr w:rsidR="007E4C86" w14:paraId="2DB40D7D" w14:textId="77777777" w:rsidTr="007E4C86">
        <w:tc>
          <w:tcPr>
            <w:tcW w:w="3154" w:type="dxa"/>
            <w:tcBorders>
              <w:top w:val="nil"/>
              <w:left w:val="nil"/>
              <w:bottom w:val="single" w:sz="4" w:space="0" w:color="auto"/>
              <w:right w:val="nil"/>
            </w:tcBorders>
          </w:tcPr>
          <w:p w14:paraId="0BC32027" w14:textId="77777777" w:rsidR="007E4C86" w:rsidRDefault="007E4C86" w:rsidP="00F36994">
            <w:pPr>
              <w:pStyle w:val="BodyText"/>
              <w:spacing w:before="8"/>
              <w:rPr>
                <w:sz w:val="22"/>
                <w:szCs w:val="22"/>
              </w:rPr>
            </w:pPr>
          </w:p>
        </w:tc>
        <w:tc>
          <w:tcPr>
            <w:tcW w:w="1872" w:type="dxa"/>
            <w:tcBorders>
              <w:top w:val="nil"/>
              <w:left w:val="nil"/>
              <w:bottom w:val="nil"/>
              <w:right w:val="nil"/>
            </w:tcBorders>
          </w:tcPr>
          <w:p w14:paraId="57B5298B" w14:textId="77777777" w:rsidR="007E4C86" w:rsidRDefault="007E4C86" w:rsidP="00F36994">
            <w:pPr>
              <w:pStyle w:val="BodyText"/>
              <w:spacing w:before="8"/>
              <w:rPr>
                <w:sz w:val="22"/>
                <w:szCs w:val="22"/>
              </w:rPr>
            </w:pPr>
          </w:p>
        </w:tc>
        <w:tc>
          <w:tcPr>
            <w:tcW w:w="4320" w:type="dxa"/>
            <w:tcBorders>
              <w:top w:val="nil"/>
              <w:left w:val="nil"/>
              <w:bottom w:val="nil"/>
              <w:right w:val="nil"/>
            </w:tcBorders>
          </w:tcPr>
          <w:p w14:paraId="5C07AE3C" w14:textId="77777777" w:rsidR="007E4C86" w:rsidRDefault="007E4C86" w:rsidP="00F36994">
            <w:pPr>
              <w:pStyle w:val="BodyText"/>
              <w:spacing w:before="8"/>
              <w:rPr>
                <w:sz w:val="22"/>
                <w:szCs w:val="22"/>
              </w:rPr>
            </w:pPr>
          </w:p>
        </w:tc>
      </w:tr>
      <w:tr w:rsidR="007E4C86" w14:paraId="589EABAA" w14:textId="77777777" w:rsidTr="007E4C86">
        <w:tc>
          <w:tcPr>
            <w:tcW w:w="3154" w:type="dxa"/>
            <w:tcBorders>
              <w:top w:val="single" w:sz="4" w:space="0" w:color="auto"/>
              <w:left w:val="single" w:sz="4" w:space="0" w:color="auto"/>
              <w:bottom w:val="single" w:sz="4" w:space="0" w:color="auto"/>
              <w:right w:val="single" w:sz="4" w:space="0" w:color="auto"/>
            </w:tcBorders>
          </w:tcPr>
          <w:p w14:paraId="6F763825" w14:textId="33F6610A" w:rsidR="007E4C86" w:rsidRDefault="00B954B2" w:rsidP="00B954B2">
            <w:pPr>
              <w:pStyle w:val="Header"/>
              <w:ind w:left="252" w:right="144" w:hanging="252"/>
              <w:rPr>
                <w:sz w:val="20"/>
              </w:rPr>
            </w:pPr>
            <w:r>
              <w:rPr>
                <w:sz w:val="20"/>
              </w:rPr>
              <w:sym w:font="Webdings" w:char="F063"/>
            </w:r>
            <w:r>
              <w:rPr>
                <w:sz w:val="20"/>
              </w:rPr>
              <w:t xml:space="preserve"> </w:t>
            </w:r>
            <w:r w:rsidR="007E4C86">
              <w:rPr>
                <w:sz w:val="20"/>
              </w:rPr>
              <w:t xml:space="preserve">Attorney for </w:t>
            </w:r>
            <w:r w:rsidR="00467F3C">
              <w:rPr>
                <w:sz w:val="20"/>
              </w:rPr>
              <w:t xml:space="preserve">Applicant / </w:t>
            </w:r>
            <w:r w:rsidR="007E4C86">
              <w:rPr>
                <w:sz w:val="20"/>
              </w:rPr>
              <w:t>Personal Representative:</w:t>
            </w:r>
          </w:p>
          <w:p w14:paraId="2554C513" w14:textId="77777777" w:rsidR="007E4C86" w:rsidRDefault="007E4C86" w:rsidP="007E4C86">
            <w:pPr>
              <w:pStyle w:val="Header"/>
              <w:spacing w:before="60" w:after="60"/>
              <w:ind w:right="144"/>
              <w:rPr>
                <w:b/>
                <w:sz w:val="20"/>
              </w:rPr>
            </w:pPr>
            <w:r>
              <w:rPr>
                <w:b/>
                <w:sz w:val="20"/>
              </w:rPr>
              <w:t>OR</w:t>
            </w:r>
          </w:p>
          <w:p w14:paraId="40193774" w14:textId="77777777" w:rsidR="007E4C86" w:rsidRDefault="007E4C86" w:rsidP="007E4C86">
            <w:pPr>
              <w:pStyle w:val="Header"/>
              <w:ind w:right="144"/>
              <w:rPr>
                <w:sz w:val="20"/>
              </w:rPr>
            </w:pPr>
            <w:r>
              <w:rPr>
                <w:sz w:val="20"/>
              </w:rPr>
              <w:sym w:font="Webdings" w:char="F063"/>
            </w:r>
            <w:r>
              <w:rPr>
                <w:sz w:val="20"/>
              </w:rPr>
              <w:t xml:space="preserve"> Self-Represented:</w:t>
            </w:r>
          </w:p>
          <w:p w14:paraId="6398CF49" w14:textId="2C336886" w:rsidR="00B954B2" w:rsidRDefault="00B954B2" w:rsidP="00B954B2">
            <w:pPr>
              <w:pStyle w:val="Header"/>
              <w:spacing w:line="259" w:lineRule="auto"/>
              <w:rPr>
                <w:sz w:val="20"/>
              </w:rPr>
            </w:pPr>
            <w:r>
              <w:rPr>
                <w:sz w:val="20"/>
              </w:rPr>
              <w:t xml:space="preserve">Name: </w:t>
            </w:r>
            <w:r>
              <w:rPr>
                <w:sz w:val="20"/>
                <w:u w:val="single"/>
              </w:rPr>
              <w:tab/>
            </w:r>
          </w:p>
          <w:p w14:paraId="78550346" w14:textId="7712EDA2" w:rsidR="00B954B2" w:rsidRDefault="00B954B2" w:rsidP="00B954B2">
            <w:pPr>
              <w:pStyle w:val="Header"/>
              <w:spacing w:line="259" w:lineRule="auto"/>
              <w:rPr>
                <w:sz w:val="20"/>
              </w:rPr>
            </w:pPr>
            <w:r>
              <w:rPr>
                <w:sz w:val="20"/>
              </w:rPr>
              <w:t xml:space="preserve">Firm: </w:t>
            </w:r>
            <w:r>
              <w:rPr>
                <w:sz w:val="20"/>
                <w:u w:val="single"/>
              </w:rPr>
              <w:tab/>
            </w:r>
          </w:p>
          <w:p w14:paraId="706B99E0" w14:textId="5992FD79" w:rsidR="00B954B2" w:rsidRDefault="00B954B2" w:rsidP="00B954B2">
            <w:pPr>
              <w:pStyle w:val="Header"/>
              <w:spacing w:line="259" w:lineRule="auto"/>
              <w:rPr>
                <w:sz w:val="20"/>
              </w:rPr>
            </w:pPr>
            <w:r>
              <w:rPr>
                <w:sz w:val="20"/>
              </w:rPr>
              <w:t xml:space="preserve">Address: </w:t>
            </w:r>
            <w:r>
              <w:rPr>
                <w:sz w:val="20"/>
                <w:u w:val="single"/>
              </w:rPr>
              <w:tab/>
            </w:r>
          </w:p>
          <w:p w14:paraId="6AFB138B" w14:textId="5C789C07" w:rsidR="00B954B2" w:rsidRDefault="00B954B2" w:rsidP="00B954B2">
            <w:pPr>
              <w:pStyle w:val="Header"/>
              <w:spacing w:line="259" w:lineRule="auto"/>
              <w:rPr>
                <w:sz w:val="20"/>
              </w:rPr>
            </w:pPr>
            <w:r>
              <w:rPr>
                <w:sz w:val="20"/>
                <w:u w:val="single"/>
              </w:rPr>
              <w:tab/>
            </w:r>
          </w:p>
          <w:p w14:paraId="3D29AE5D" w14:textId="052D4A32" w:rsidR="00B954B2" w:rsidRDefault="00B954B2" w:rsidP="00B954B2">
            <w:pPr>
              <w:pStyle w:val="Header"/>
              <w:spacing w:line="259" w:lineRule="auto"/>
              <w:rPr>
                <w:sz w:val="20"/>
              </w:rPr>
            </w:pPr>
            <w:r>
              <w:rPr>
                <w:sz w:val="20"/>
              </w:rPr>
              <w:t xml:space="preserve">Attorney License No.: </w:t>
            </w:r>
            <w:r>
              <w:rPr>
                <w:sz w:val="20"/>
                <w:u w:val="single"/>
              </w:rPr>
              <w:tab/>
            </w:r>
          </w:p>
          <w:p w14:paraId="0312EACC" w14:textId="08B79073" w:rsidR="00B954B2" w:rsidRDefault="00B954B2" w:rsidP="00B954B2">
            <w:pPr>
              <w:pStyle w:val="Header"/>
              <w:spacing w:line="259" w:lineRule="auto"/>
              <w:rPr>
                <w:sz w:val="20"/>
              </w:rPr>
            </w:pPr>
            <w:r>
              <w:rPr>
                <w:sz w:val="20"/>
              </w:rPr>
              <w:t xml:space="preserve">Email: </w:t>
            </w:r>
            <w:r>
              <w:rPr>
                <w:sz w:val="20"/>
                <w:u w:val="single"/>
              </w:rPr>
              <w:tab/>
            </w:r>
          </w:p>
          <w:p w14:paraId="0D26007F" w14:textId="59CE4BF3" w:rsidR="007E4C86" w:rsidRPr="00A7768A" w:rsidRDefault="00B954B2" w:rsidP="00B954B2">
            <w:pPr>
              <w:pStyle w:val="Header"/>
              <w:spacing w:line="259" w:lineRule="auto"/>
              <w:ind w:right="-14"/>
              <w:rPr>
                <w:sz w:val="20"/>
                <w:u w:val="single"/>
              </w:rPr>
            </w:pPr>
            <w:r>
              <w:rPr>
                <w:sz w:val="20"/>
              </w:rPr>
              <w:t xml:space="preserve">Telephone: </w:t>
            </w:r>
            <w:r>
              <w:rPr>
                <w:sz w:val="20"/>
                <w:u w:val="single"/>
              </w:rPr>
              <w:tab/>
            </w:r>
          </w:p>
        </w:tc>
        <w:tc>
          <w:tcPr>
            <w:tcW w:w="1872" w:type="dxa"/>
            <w:tcBorders>
              <w:top w:val="nil"/>
              <w:left w:val="single" w:sz="4" w:space="0" w:color="auto"/>
              <w:bottom w:val="nil"/>
              <w:right w:val="nil"/>
            </w:tcBorders>
          </w:tcPr>
          <w:p w14:paraId="05EDC847" w14:textId="77777777" w:rsidR="007E4C86" w:rsidRDefault="007E4C86" w:rsidP="00F36994">
            <w:pPr>
              <w:pStyle w:val="BodyText"/>
              <w:spacing w:before="8"/>
              <w:rPr>
                <w:sz w:val="22"/>
                <w:szCs w:val="22"/>
              </w:rPr>
            </w:pPr>
          </w:p>
        </w:tc>
        <w:tc>
          <w:tcPr>
            <w:tcW w:w="4320" w:type="dxa"/>
            <w:tcBorders>
              <w:top w:val="nil"/>
              <w:left w:val="nil"/>
              <w:bottom w:val="nil"/>
              <w:right w:val="nil"/>
            </w:tcBorders>
          </w:tcPr>
          <w:p w14:paraId="0E2911DB" w14:textId="77777777" w:rsidR="007E4C86" w:rsidRDefault="007E4C86" w:rsidP="00F36994">
            <w:pPr>
              <w:pStyle w:val="BodyText"/>
              <w:spacing w:before="8"/>
              <w:rPr>
                <w:sz w:val="22"/>
                <w:szCs w:val="22"/>
              </w:rPr>
            </w:pPr>
          </w:p>
        </w:tc>
      </w:tr>
    </w:tbl>
    <w:p w14:paraId="037DBE1A" w14:textId="77777777" w:rsidR="007E4C86" w:rsidRPr="007E4C86" w:rsidRDefault="007E4C86" w:rsidP="007E4C86">
      <w:pPr>
        <w:spacing w:after="160" w:line="259" w:lineRule="auto"/>
        <w:ind w:right="-90"/>
      </w:pPr>
    </w:p>
    <w:p w14:paraId="1CBD388A" w14:textId="77777777" w:rsidR="003869B7" w:rsidRPr="0094417A" w:rsidRDefault="003869B7" w:rsidP="0094417A">
      <w:pPr>
        <w:spacing w:after="160" w:line="259" w:lineRule="auto"/>
        <w:ind w:right="-90"/>
      </w:pPr>
    </w:p>
    <w:p w14:paraId="0B3A0B94" w14:textId="77777777" w:rsidR="003869B7" w:rsidRPr="0094417A" w:rsidRDefault="003869B7" w:rsidP="0094417A">
      <w:pPr>
        <w:spacing w:after="160" w:line="259" w:lineRule="auto"/>
      </w:pPr>
    </w:p>
    <w:p w14:paraId="7DA6736D" w14:textId="0968B6F2" w:rsidR="004914A0" w:rsidRDefault="004914A0" w:rsidP="003869B7">
      <w:pPr>
        <w:spacing w:after="160" w:line="259" w:lineRule="auto"/>
      </w:pPr>
      <w:bookmarkStart w:id="0" w:name="_GoBack"/>
      <w:bookmarkEnd w:id="0"/>
    </w:p>
    <w:sectPr w:rsidR="004914A0" w:rsidSect="00864D88">
      <w:footerReference w:type="default" r:id="rId13"/>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5F66C" w14:textId="77777777" w:rsidR="00FE15CD" w:rsidRDefault="00FE15CD" w:rsidP="00FE15CD">
      <w:r>
        <w:separator/>
      </w:r>
    </w:p>
  </w:endnote>
  <w:endnote w:type="continuationSeparator" w:id="0">
    <w:p w14:paraId="31D71FE0" w14:textId="77777777" w:rsidR="00FE15CD" w:rsidRDefault="00FE15CD" w:rsidP="00FE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0225938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728DCA7" w14:textId="0CAEB21A" w:rsidR="00FE15CD" w:rsidRPr="000D0A95" w:rsidRDefault="00FE15CD" w:rsidP="00FE15CD">
            <w:pPr>
              <w:pStyle w:val="Footer"/>
              <w:rPr>
                <w:rFonts w:ascii="Arial" w:hAnsi="Arial" w:cs="Arial"/>
                <w:sz w:val="18"/>
                <w:szCs w:val="18"/>
              </w:rPr>
            </w:pPr>
            <w:r>
              <w:rPr>
                <w:rFonts w:ascii="Arial" w:hAnsi="Arial" w:cs="Arial"/>
                <w:i/>
                <w:sz w:val="18"/>
                <w:szCs w:val="18"/>
              </w:rPr>
              <w:t>Notice to Spouse and/or Children</w:t>
            </w:r>
          </w:p>
          <w:p w14:paraId="5732C2BB" w14:textId="513E6F52" w:rsidR="00FE15CD" w:rsidRPr="00FE15CD" w:rsidRDefault="00FE15CD">
            <w:pPr>
              <w:pStyle w:val="Footer"/>
              <w:rPr>
                <w:rFonts w:ascii="Arial" w:hAnsi="Arial" w:cs="Arial"/>
                <w:sz w:val="18"/>
                <w:szCs w:val="18"/>
              </w:rPr>
            </w:pPr>
            <w:r>
              <w:rPr>
                <w:rFonts w:ascii="Arial" w:hAnsi="Arial" w:cs="Arial"/>
                <w:sz w:val="18"/>
                <w:szCs w:val="18"/>
              </w:rPr>
              <w:t>PRO</w:t>
            </w:r>
            <w:r w:rsidR="00CA1CBD">
              <w:rPr>
                <w:rFonts w:ascii="Arial" w:hAnsi="Arial" w:cs="Arial"/>
                <w:sz w:val="18"/>
                <w:szCs w:val="18"/>
              </w:rPr>
              <w:t>906</w:t>
            </w:r>
            <w:r>
              <w:rPr>
                <w:rFonts w:ascii="Arial" w:hAnsi="Arial" w:cs="Arial"/>
                <w:sz w:val="18"/>
                <w:szCs w:val="18"/>
              </w:rPr>
              <w:t xml:space="preserve">            State</w:t>
            </w:r>
            <w:r w:rsidR="00467F3C">
              <w:rPr>
                <w:rFonts w:ascii="Arial" w:hAnsi="Arial" w:cs="Arial"/>
                <w:sz w:val="18"/>
                <w:szCs w:val="18"/>
              </w:rPr>
              <w:t xml:space="preserve">           </w:t>
            </w:r>
            <w:proofErr w:type="spellStart"/>
            <w:r w:rsidR="00467F3C">
              <w:rPr>
                <w:rFonts w:ascii="Arial" w:hAnsi="Arial" w:cs="Arial"/>
                <w:sz w:val="18"/>
                <w:szCs w:val="18"/>
              </w:rPr>
              <w:t>Eng</w:t>
            </w:r>
            <w:proofErr w:type="spellEnd"/>
            <w:r w:rsidR="00467F3C">
              <w:rPr>
                <w:rFonts w:ascii="Arial" w:hAnsi="Arial" w:cs="Arial"/>
                <w:sz w:val="18"/>
                <w:szCs w:val="18"/>
              </w:rPr>
              <w:t xml:space="preserve">            </w:t>
            </w:r>
            <w:r w:rsidR="00CA1CBD">
              <w:rPr>
                <w:rFonts w:ascii="Arial" w:hAnsi="Arial" w:cs="Arial"/>
                <w:sz w:val="18"/>
                <w:szCs w:val="18"/>
              </w:rPr>
              <w:t>5/19</w:t>
            </w:r>
            <w:r>
              <w:rPr>
                <w:rFonts w:ascii="Arial" w:hAnsi="Arial" w:cs="Arial"/>
                <w:sz w:val="18"/>
                <w:szCs w:val="18"/>
              </w:rPr>
              <w:t xml:space="preserve">                  </w:t>
            </w:r>
            <w:r w:rsidRPr="00E56857">
              <w:rPr>
                <w:rFonts w:ascii="Arial" w:hAnsi="Arial" w:cs="Arial"/>
                <w:sz w:val="18"/>
                <w:szCs w:val="18"/>
              </w:rPr>
              <w:t>www.mncourts.gov/forms</w:t>
            </w:r>
            <w:r>
              <w:rPr>
                <w:rFonts w:ascii="Arial" w:hAnsi="Arial" w:cs="Arial"/>
                <w:sz w:val="18"/>
                <w:szCs w:val="18"/>
              </w:rPr>
              <w:t xml:space="preserve"> </w:t>
            </w:r>
            <w:r>
              <w:rPr>
                <w:rFonts w:ascii="Arial" w:hAnsi="Arial" w:cs="Arial"/>
                <w:sz w:val="18"/>
                <w:szCs w:val="18"/>
              </w:rPr>
              <w:tab/>
            </w:r>
            <w:r w:rsidRPr="00E56857">
              <w:rPr>
                <w:rFonts w:ascii="Arial" w:hAnsi="Arial" w:cs="Arial"/>
                <w:sz w:val="18"/>
                <w:szCs w:val="18"/>
              </w:rPr>
              <w:t xml:space="preserve">Page </w:t>
            </w:r>
            <w:r w:rsidRPr="00E56857">
              <w:rPr>
                <w:rFonts w:ascii="Arial" w:hAnsi="Arial" w:cs="Arial"/>
                <w:bCs/>
                <w:sz w:val="18"/>
                <w:szCs w:val="18"/>
              </w:rPr>
              <w:fldChar w:fldCharType="begin"/>
            </w:r>
            <w:r w:rsidRPr="00E56857">
              <w:rPr>
                <w:rFonts w:ascii="Arial" w:hAnsi="Arial" w:cs="Arial"/>
                <w:bCs/>
                <w:sz w:val="18"/>
                <w:szCs w:val="18"/>
              </w:rPr>
              <w:instrText xml:space="preserve"> PAGE </w:instrText>
            </w:r>
            <w:r w:rsidRPr="00E56857">
              <w:rPr>
                <w:rFonts w:ascii="Arial" w:hAnsi="Arial" w:cs="Arial"/>
                <w:bCs/>
                <w:sz w:val="18"/>
                <w:szCs w:val="18"/>
              </w:rPr>
              <w:fldChar w:fldCharType="separate"/>
            </w:r>
            <w:r w:rsidR="00923CFC">
              <w:rPr>
                <w:rFonts w:ascii="Arial" w:hAnsi="Arial" w:cs="Arial"/>
                <w:bCs/>
                <w:noProof/>
                <w:sz w:val="18"/>
                <w:szCs w:val="18"/>
              </w:rPr>
              <w:t>2</w:t>
            </w:r>
            <w:r w:rsidRPr="00E56857">
              <w:rPr>
                <w:rFonts w:ascii="Arial" w:hAnsi="Arial" w:cs="Arial"/>
                <w:bCs/>
                <w:sz w:val="18"/>
                <w:szCs w:val="18"/>
              </w:rPr>
              <w:fldChar w:fldCharType="end"/>
            </w:r>
            <w:r w:rsidRPr="00E56857">
              <w:rPr>
                <w:rFonts w:ascii="Arial" w:hAnsi="Arial" w:cs="Arial"/>
                <w:sz w:val="18"/>
                <w:szCs w:val="18"/>
              </w:rPr>
              <w:t xml:space="preserve"> of </w:t>
            </w:r>
            <w:r w:rsidRPr="00E56857">
              <w:rPr>
                <w:rFonts w:ascii="Arial" w:hAnsi="Arial" w:cs="Arial"/>
                <w:bCs/>
                <w:sz w:val="18"/>
                <w:szCs w:val="18"/>
              </w:rPr>
              <w:fldChar w:fldCharType="begin"/>
            </w:r>
            <w:r w:rsidRPr="00E56857">
              <w:rPr>
                <w:rFonts w:ascii="Arial" w:hAnsi="Arial" w:cs="Arial"/>
                <w:bCs/>
                <w:sz w:val="18"/>
                <w:szCs w:val="18"/>
              </w:rPr>
              <w:instrText xml:space="preserve"> NUMPAGES  </w:instrText>
            </w:r>
            <w:r w:rsidRPr="00E56857">
              <w:rPr>
                <w:rFonts w:ascii="Arial" w:hAnsi="Arial" w:cs="Arial"/>
                <w:bCs/>
                <w:sz w:val="18"/>
                <w:szCs w:val="18"/>
              </w:rPr>
              <w:fldChar w:fldCharType="separate"/>
            </w:r>
            <w:r w:rsidR="00923CFC">
              <w:rPr>
                <w:rFonts w:ascii="Arial" w:hAnsi="Arial" w:cs="Arial"/>
                <w:bCs/>
                <w:noProof/>
                <w:sz w:val="18"/>
                <w:szCs w:val="18"/>
              </w:rPr>
              <w:t>2</w:t>
            </w:r>
            <w:r w:rsidRPr="00E56857">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45B38" w14:textId="77777777" w:rsidR="00FE15CD" w:rsidRDefault="00FE15CD" w:rsidP="00FE15CD">
      <w:r>
        <w:separator/>
      </w:r>
    </w:p>
  </w:footnote>
  <w:footnote w:type="continuationSeparator" w:id="0">
    <w:p w14:paraId="7D25BA53" w14:textId="77777777" w:rsidR="00FE15CD" w:rsidRDefault="00FE15CD" w:rsidP="00FE1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4CC"/>
    <w:multiLevelType w:val="hybridMultilevel"/>
    <w:tmpl w:val="DFAC529A"/>
    <w:lvl w:ilvl="0" w:tplc="75E440BC">
      <w:start w:val="1"/>
      <w:numFmt w:val="decimal"/>
      <w:lvlText w:val="%1."/>
      <w:lvlJc w:val="left"/>
      <w:pPr>
        <w:ind w:left="1243" w:hanging="432"/>
        <w:jc w:val="left"/>
      </w:pPr>
      <w:rPr>
        <w:rFonts w:ascii="Times New Roman" w:eastAsia="Times New Roman" w:hAnsi="Times New Roman" w:cs="Times New Roman" w:hint="default"/>
        <w:spacing w:val="-24"/>
        <w:w w:val="99"/>
        <w:sz w:val="24"/>
        <w:szCs w:val="24"/>
      </w:rPr>
    </w:lvl>
    <w:lvl w:ilvl="1" w:tplc="E4BCACB8">
      <w:start w:val="1"/>
      <w:numFmt w:val="lowerLetter"/>
      <w:lvlText w:val="%2."/>
      <w:lvlJc w:val="left"/>
      <w:pPr>
        <w:ind w:left="1358" w:hanging="257"/>
        <w:jc w:val="left"/>
      </w:pPr>
      <w:rPr>
        <w:rFonts w:ascii="Times New Roman" w:eastAsia="Times New Roman" w:hAnsi="Times New Roman" w:cs="Times New Roman" w:hint="default"/>
        <w:spacing w:val="-29"/>
        <w:w w:val="99"/>
        <w:sz w:val="24"/>
        <w:szCs w:val="24"/>
      </w:rPr>
    </w:lvl>
    <w:lvl w:ilvl="2" w:tplc="9392B942">
      <w:numFmt w:val="bullet"/>
      <w:lvlText w:val="•"/>
      <w:lvlJc w:val="left"/>
      <w:pPr>
        <w:ind w:left="2460" w:hanging="257"/>
      </w:pPr>
      <w:rPr>
        <w:rFonts w:hint="default"/>
      </w:rPr>
    </w:lvl>
    <w:lvl w:ilvl="3" w:tplc="91840242">
      <w:numFmt w:val="bullet"/>
      <w:lvlText w:val="•"/>
      <w:lvlJc w:val="left"/>
      <w:pPr>
        <w:ind w:left="3560" w:hanging="257"/>
      </w:pPr>
      <w:rPr>
        <w:rFonts w:hint="default"/>
      </w:rPr>
    </w:lvl>
    <w:lvl w:ilvl="4" w:tplc="FD44C2FE">
      <w:numFmt w:val="bullet"/>
      <w:lvlText w:val="•"/>
      <w:lvlJc w:val="left"/>
      <w:pPr>
        <w:ind w:left="4660" w:hanging="257"/>
      </w:pPr>
      <w:rPr>
        <w:rFonts w:hint="default"/>
      </w:rPr>
    </w:lvl>
    <w:lvl w:ilvl="5" w:tplc="12CA4700">
      <w:numFmt w:val="bullet"/>
      <w:lvlText w:val="•"/>
      <w:lvlJc w:val="left"/>
      <w:pPr>
        <w:ind w:left="5760" w:hanging="257"/>
      </w:pPr>
      <w:rPr>
        <w:rFonts w:hint="default"/>
      </w:rPr>
    </w:lvl>
    <w:lvl w:ilvl="6" w:tplc="303CEF22">
      <w:numFmt w:val="bullet"/>
      <w:lvlText w:val="•"/>
      <w:lvlJc w:val="left"/>
      <w:pPr>
        <w:ind w:left="6860" w:hanging="257"/>
      </w:pPr>
      <w:rPr>
        <w:rFonts w:hint="default"/>
      </w:rPr>
    </w:lvl>
    <w:lvl w:ilvl="7" w:tplc="A6FA7970">
      <w:numFmt w:val="bullet"/>
      <w:lvlText w:val="•"/>
      <w:lvlJc w:val="left"/>
      <w:pPr>
        <w:ind w:left="7960" w:hanging="257"/>
      </w:pPr>
      <w:rPr>
        <w:rFonts w:hint="default"/>
      </w:rPr>
    </w:lvl>
    <w:lvl w:ilvl="8" w:tplc="56125742">
      <w:numFmt w:val="bullet"/>
      <w:lvlText w:val="•"/>
      <w:lvlJc w:val="left"/>
      <w:pPr>
        <w:ind w:left="9060" w:hanging="257"/>
      </w:pPr>
      <w:rPr>
        <w:rFonts w:hint="default"/>
      </w:rPr>
    </w:lvl>
  </w:abstractNum>
  <w:abstractNum w:abstractNumId="1" w15:restartNumberingAfterBreak="0">
    <w:nsid w:val="1971300D"/>
    <w:multiLevelType w:val="hybridMultilevel"/>
    <w:tmpl w:val="39F8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4F5"/>
    <w:multiLevelType w:val="hybridMultilevel"/>
    <w:tmpl w:val="A0705DE0"/>
    <w:lvl w:ilvl="0" w:tplc="DF66EF7C">
      <w:start w:val="3"/>
      <w:numFmt w:val="decimal"/>
      <w:lvlText w:val="%1."/>
      <w:lvlJc w:val="left"/>
      <w:pPr>
        <w:ind w:left="628" w:hanging="300"/>
        <w:jc w:val="left"/>
      </w:pPr>
      <w:rPr>
        <w:rFonts w:ascii="Times New Roman" w:eastAsia="Times New Roman" w:hAnsi="Times New Roman" w:cs="Times New Roman" w:hint="default"/>
        <w:spacing w:val="-3"/>
        <w:w w:val="99"/>
        <w:sz w:val="24"/>
        <w:szCs w:val="24"/>
      </w:rPr>
    </w:lvl>
    <w:lvl w:ilvl="1" w:tplc="26389FF6">
      <w:start w:val="6"/>
      <w:numFmt w:val="decimal"/>
      <w:lvlText w:val="%2."/>
      <w:lvlJc w:val="left"/>
      <w:pPr>
        <w:ind w:left="1348" w:hanging="432"/>
        <w:jc w:val="left"/>
      </w:pPr>
      <w:rPr>
        <w:rFonts w:ascii="Times New Roman" w:eastAsia="Times New Roman" w:hAnsi="Times New Roman" w:cs="Times New Roman" w:hint="default"/>
        <w:spacing w:val="-8"/>
        <w:w w:val="99"/>
        <w:sz w:val="24"/>
        <w:szCs w:val="24"/>
      </w:rPr>
    </w:lvl>
    <w:lvl w:ilvl="2" w:tplc="1FA44998">
      <w:start w:val="1"/>
      <w:numFmt w:val="lowerLetter"/>
      <w:lvlText w:val="%3."/>
      <w:lvlJc w:val="left"/>
      <w:pPr>
        <w:ind w:left="1348" w:hanging="262"/>
        <w:jc w:val="left"/>
      </w:pPr>
      <w:rPr>
        <w:rFonts w:ascii="Times New Roman" w:eastAsia="Times New Roman" w:hAnsi="Times New Roman" w:cs="Times New Roman" w:hint="default"/>
        <w:spacing w:val="-24"/>
        <w:w w:val="99"/>
        <w:sz w:val="24"/>
        <w:szCs w:val="24"/>
      </w:rPr>
    </w:lvl>
    <w:lvl w:ilvl="3" w:tplc="CAD83B4C">
      <w:numFmt w:val="bullet"/>
      <w:lvlText w:val="•"/>
      <w:lvlJc w:val="left"/>
      <w:pPr>
        <w:ind w:left="3597" w:hanging="262"/>
      </w:pPr>
      <w:rPr>
        <w:rFonts w:hint="default"/>
      </w:rPr>
    </w:lvl>
    <w:lvl w:ilvl="4" w:tplc="44561582">
      <w:numFmt w:val="bullet"/>
      <w:lvlText w:val="•"/>
      <w:lvlJc w:val="left"/>
      <w:pPr>
        <w:ind w:left="4726" w:hanging="262"/>
      </w:pPr>
      <w:rPr>
        <w:rFonts w:hint="default"/>
      </w:rPr>
    </w:lvl>
    <w:lvl w:ilvl="5" w:tplc="A446811E">
      <w:numFmt w:val="bullet"/>
      <w:lvlText w:val="•"/>
      <w:lvlJc w:val="left"/>
      <w:pPr>
        <w:ind w:left="5855" w:hanging="262"/>
      </w:pPr>
      <w:rPr>
        <w:rFonts w:hint="default"/>
      </w:rPr>
    </w:lvl>
    <w:lvl w:ilvl="6" w:tplc="DCFC4E54">
      <w:numFmt w:val="bullet"/>
      <w:lvlText w:val="•"/>
      <w:lvlJc w:val="left"/>
      <w:pPr>
        <w:ind w:left="6984" w:hanging="262"/>
      </w:pPr>
      <w:rPr>
        <w:rFonts w:hint="default"/>
      </w:rPr>
    </w:lvl>
    <w:lvl w:ilvl="7" w:tplc="4B461F96">
      <w:numFmt w:val="bullet"/>
      <w:lvlText w:val="•"/>
      <w:lvlJc w:val="left"/>
      <w:pPr>
        <w:ind w:left="8113" w:hanging="262"/>
      </w:pPr>
      <w:rPr>
        <w:rFonts w:hint="default"/>
      </w:rPr>
    </w:lvl>
    <w:lvl w:ilvl="8" w:tplc="1B76DC50">
      <w:numFmt w:val="bullet"/>
      <w:lvlText w:val="•"/>
      <w:lvlJc w:val="left"/>
      <w:pPr>
        <w:ind w:left="9242" w:hanging="262"/>
      </w:pPr>
      <w:rPr>
        <w:rFonts w:hint="default"/>
      </w:rPr>
    </w:lvl>
  </w:abstractNum>
  <w:abstractNum w:abstractNumId="3" w15:restartNumberingAfterBreak="0">
    <w:nsid w:val="3953660E"/>
    <w:multiLevelType w:val="hybridMultilevel"/>
    <w:tmpl w:val="EB584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A0"/>
    <w:rsid w:val="001F3703"/>
    <w:rsid w:val="0032263B"/>
    <w:rsid w:val="003869B7"/>
    <w:rsid w:val="00467F3C"/>
    <w:rsid w:val="00471BC8"/>
    <w:rsid w:val="00476301"/>
    <w:rsid w:val="004914A0"/>
    <w:rsid w:val="00765871"/>
    <w:rsid w:val="007E4C86"/>
    <w:rsid w:val="00864D88"/>
    <w:rsid w:val="008E0A8E"/>
    <w:rsid w:val="00923CFC"/>
    <w:rsid w:val="0093456C"/>
    <w:rsid w:val="0094417A"/>
    <w:rsid w:val="00A24CF6"/>
    <w:rsid w:val="00B954B2"/>
    <w:rsid w:val="00BF2F7B"/>
    <w:rsid w:val="00CA1CBD"/>
    <w:rsid w:val="00CD308B"/>
    <w:rsid w:val="00F2427F"/>
    <w:rsid w:val="00F4360A"/>
    <w:rsid w:val="00FE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5200"/>
  <w15:chartTrackingRefBased/>
  <w15:docId w15:val="{6C0B43D0-0A51-436C-BDD7-3D5572D7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A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4914A0"/>
    <w:pPr>
      <w:widowControl w:val="0"/>
      <w:autoSpaceDE w:val="0"/>
      <w:autoSpaceDN w:val="0"/>
      <w:ind w:left="3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4914A0"/>
    <w:pPr>
      <w:spacing w:after="240"/>
    </w:pPr>
    <w:rPr>
      <w:sz w:val="26"/>
      <w:szCs w:val="20"/>
    </w:rPr>
  </w:style>
  <w:style w:type="paragraph" w:styleId="EndnoteText">
    <w:name w:val="endnote text"/>
    <w:basedOn w:val="Normal"/>
    <w:link w:val="EndnoteTextChar"/>
    <w:rsid w:val="004914A0"/>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4914A0"/>
    <w:rPr>
      <w:rFonts w:ascii="Courier New" w:eastAsia="Times New Roman" w:hAnsi="Courier New" w:cs="Times New Roman"/>
      <w:snapToGrid w:val="0"/>
      <w:sz w:val="26"/>
      <w:szCs w:val="20"/>
    </w:rPr>
  </w:style>
  <w:style w:type="character" w:customStyle="1" w:styleId="Heading2Char">
    <w:name w:val="Heading 2 Char"/>
    <w:basedOn w:val="DefaultParagraphFont"/>
    <w:link w:val="Heading2"/>
    <w:uiPriority w:val="1"/>
    <w:rsid w:val="004914A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914A0"/>
    <w:pPr>
      <w:widowControl w:val="0"/>
      <w:autoSpaceDE w:val="0"/>
      <w:autoSpaceDN w:val="0"/>
    </w:pPr>
  </w:style>
  <w:style w:type="character" w:customStyle="1" w:styleId="BodyTextChar">
    <w:name w:val="Body Text Char"/>
    <w:basedOn w:val="DefaultParagraphFont"/>
    <w:link w:val="BodyText"/>
    <w:uiPriority w:val="1"/>
    <w:rsid w:val="004914A0"/>
    <w:rPr>
      <w:rFonts w:ascii="Times New Roman" w:eastAsia="Times New Roman" w:hAnsi="Times New Roman" w:cs="Times New Roman"/>
      <w:sz w:val="24"/>
      <w:szCs w:val="24"/>
    </w:rPr>
  </w:style>
  <w:style w:type="paragraph" w:styleId="ListParagraph">
    <w:name w:val="List Paragraph"/>
    <w:basedOn w:val="Normal"/>
    <w:uiPriority w:val="1"/>
    <w:qFormat/>
    <w:rsid w:val="004914A0"/>
    <w:pPr>
      <w:widowControl w:val="0"/>
      <w:autoSpaceDE w:val="0"/>
      <w:autoSpaceDN w:val="0"/>
      <w:ind w:left="1060" w:hanging="288"/>
    </w:pPr>
    <w:rPr>
      <w:sz w:val="22"/>
      <w:szCs w:val="22"/>
    </w:rPr>
  </w:style>
  <w:style w:type="paragraph" w:customStyle="1" w:styleId="TableParagraph">
    <w:name w:val="Table Paragraph"/>
    <w:basedOn w:val="Normal"/>
    <w:uiPriority w:val="1"/>
    <w:qFormat/>
    <w:rsid w:val="004914A0"/>
    <w:pPr>
      <w:widowControl w:val="0"/>
      <w:autoSpaceDE w:val="0"/>
      <w:autoSpaceDN w:val="0"/>
    </w:pPr>
    <w:rPr>
      <w:sz w:val="22"/>
      <w:szCs w:val="22"/>
    </w:rPr>
  </w:style>
  <w:style w:type="character" w:styleId="CommentReference">
    <w:name w:val="annotation reference"/>
    <w:basedOn w:val="DefaultParagraphFont"/>
    <w:uiPriority w:val="99"/>
    <w:semiHidden/>
    <w:unhideWhenUsed/>
    <w:rsid w:val="00476301"/>
    <w:rPr>
      <w:sz w:val="16"/>
      <w:szCs w:val="16"/>
    </w:rPr>
  </w:style>
  <w:style w:type="paragraph" w:styleId="CommentText">
    <w:name w:val="annotation text"/>
    <w:basedOn w:val="Normal"/>
    <w:link w:val="CommentTextChar"/>
    <w:uiPriority w:val="99"/>
    <w:semiHidden/>
    <w:unhideWhenUsed/>
    <w:rsid w:val="00476301"/>
    <w:rPr>
      <w:sz w:val="20"/>
      <w:szCs w:val="20"/>
    </w:rPr>
  </w:style>
  <w:style w:type="character" w:customStyle="1" w:styleId="CommentTextChar">
    <w:name w:val="Comment Text Char"/>
    <w:basedOn w:val="DefaultParagraphFont"/>
    <w:link w:val="CommentText"/>
    <w:uiPriority w:val="99"/>
    <w:semiHidden/>
    <w:rsid w:val="00476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301"/>
    <w:rPr>
      <w:b/>
      <w:bCs/>
    </w:rPr>
  </w:style>
  <w:style w:type="character" w:customStyle="1" w:styleId="CommentSubjectChar">
    <w:name w:val="Comment Subject Char"/>
    <w:basedOn w:val="CommentTextChar"/>
    <w:link w:val="CommentSubject"/>
    <w:uiPriority w:val="99"/>
    <w:semiHidden/>
    <w:rsid w:val="004763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6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01"/>
    <w:rPr>
      <w:rFonts w:ascii="Segoe UI" w:eastAsia="Times New Roman" w:hAnsi="Segoe UI" w:cs="Segoe UI"/>
      <w:sz w:val="18"/>
      <w:szCs w:val="18"/>
    </w:rPr>
  </w:style>
  <w:style w:type="paragraph" w:styleId="Header">
    <w:name w:val="header"/>
    <w:basedOn w:val="Normal"/>
    <w:link w:val="HeaderChar"/>
    <w:uiPriority w:val="99"/>
    <w:unhideWhenUsed/>
    <w:rsid w:val="00FE15CD"/>
    <w:pPr>
      <w:tabs>
        <w:tab w:val="center" w:pos="4680"/>
        <w:tab w:val="right" w:pos="9360"/>
      </w:tabs>
    </w:pPr>
  </w:style>
  <w:style w:type="character" w:customStyle="1" w:styleId="HeaderChar">
    <w:name w:val="Header Char"/>
    <w:basedOn w:val="DefaultParagraphFont"/>
    <w:link w:val="Header"/>
    <w:uiPriority w:val="99"/>
    <w:rsid w:val="00FE15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15CD"/>
    <w:pPr>
      <w:tabs>
        <w:tab w:val="center" w:pos="4680"/>
        <w:tab w:val="right" w:pos="9360"/>
      </w:tabs>
    </w:pPr>
  </w:style>
  <w:style w:type="character" w:customStyle="1" w:styleId="FooterChar">
    <w:name w:val="Footer Char"/>
    <w:basedOn w:val="DefaultParagraphFont"/>
    <w:link w:val="Footer"/>
    <w:uiPriority w:val="99"/>
    <w:rsid w:val="00FE15CD"/>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64D88"/>
    <w:pPr>
      <w:jc w:val="center"/>
    </w:pPr>
    <w:rPr>
      <w:b/>
      <w:sz w:val="28"/>
      <w:szCs w:val="28"/>
    </w:rPr>
  </w:style>
  <w:style w:type="character" w:customStyle="1" w:styleId="TitleChar">
    <w:name w:val="Title Char"/>
    <w:basedOn w:val="DefaultParagraphFont"/>
    <w:link w:val="Title"/>
    <w:uiPriority w:val="10"/>
    <w:rsid w:val="00864D88"/>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944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law-library/research-links/county-law-libraries.j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pu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MNSCA-2290-605</_dlc_DocId>
    <_dlc_DocIdUrl xmlns="744ceb61-5b2b-4f94-bf2a-253dcbf4a3c4">
      <Url>https://sp.courts.state.mn.us/SCA/crtsvcs/COAG/_layouts/15/DocIdRedir.aspx?ID=MNSCA-2290-605</Url>
      <Description>MNSCA-2290-605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97720771360B428B96D0EF962238AE" ma:contentTypeVersion="12" ma:contentTypeDescription="Create a new document." ma:contentTypeScope="" ma:versionID="23a5e2e2468b371f4ca06f6732a5d8cd">
  <xsd:schema xmlns:xsd="http://www.w3.org/2001/XMLSchema" xmlns:xs="http://www.w3.org/2001/XMLSchema" xmlns:p="http://schemas.microsoft.com/office/2006/metadata/properties" xmlns:ns2="744ceb61-5b2b-4f94-bf2a-253dcbf4a3c4" targetNamespace="http://schemas.microsoft.com/office/2006/metadata/properties" ma:root="true" ma:fieldsID="66cef39c1c384aa0cd042b25b9d519a8"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8F344-7D8D-4538-A544-29902B3E3316}">
  <ds:schemaRefs>
    <ds:schemaRef ds:uri="744ceb61-5b2b-4f94-bf2a-253dcbf4a3c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DDA75A1-859C-49B6-B6C0-8A25F144DE6E}">
  <ds:schemaRefs>
    <ds:schemaRef ds:uri="http://schemas.microsoft.com/sharepoint/events"/>
  </ds:schemaRefs>
</ds:datastoreItem>
</file>

<file path=customXml/itemProps3.xml><?xml version="1.0" encoding="utf-8"?>
<ds:datastoreItem xmlns:ds="http://schemas.openxmlformats.org/officeDocument/2006/customXml" ds:itemID="{80F9E3FB-8379-4606-8D1A-D08E6A2F8654}">
  <ds:schemaRefs>
    <ds:schemaRef ds:uri="http://schemas.microsoft.com/sharepoint/v3/contenttype/forms"/>
  </ds:schemaRefs>
</ds:datastoreItem>
</file>

<file path=customXml/itemProps4.xml><?xml version="1.0" encoding="utf-8"?>
<ds:datastoreItem xmlns:ds="http://schemas.openxmlformats.org/officeDocument/2006/customXml" ds:itemID="{C867BBB2-B1CC-4FD2-B583-D82A26D51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to Spouse and/or Children</vt:lpstr>
    </vt:vector>
  </TitlesOfParts>
  <Company>MN Judicial Branch</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Spouse and/or Children</dc:title>
  <dc:subject>Informal Probate</dc:subject>
  <dc:creator>Kalyuzhny, Jennifer</dc:creator>
  <cp:keywords/>
  <dc:description>PRO906</dc:description>
  <cp:lastModifiedBy>Kuberski, Virginia</cp:lastModifiedBy>
  <cp:revision>4</cp:revision>
  <cp:lastPrinted>2019-05-08T23:59:00Z</cp:lastPrinted>
  <dcterms:created xsi:type="dcterms:W3CDTF">2019-05-08T23:58:00Z</dcterms:created>
  <dcterms:modified xsi:type="dcterms:W3CDTF">2019-05-08T23:59:00Z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0x010100BC97720771360B428B96D0EF962238AE</vt:lpwstr>
  </property>
  <property fmtid="{D5CDD505-2E9C-101B-9397-08002B2CF9AE}" pid="3" name="_dlc_DocIdItemGuid">
    <vt:lpwstr>c6302748-5fac-4acb-8869-cc03415f4c85</vt:lpwstr>
  </property>
</Properties>
</file>