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4584" w14:textId="4F64F90F" w:rsidR="00286C56" w:rsidRPr="00286C56" w:rsidRDefault="00286C56" w:rsidP="00286C56">
      <w:pPr>
        <w:jc w:val="center"/>
        <w:rPr>
          <w:b/>
          <w:bCs/>
          <w:u w:val="single"/>
        </w:rPr>
      </w:pPr>
      <w:r w:rsidRPr="00286C56">
        <w:rPr>
          <w:b/>
          <w:bCs/>
          <w:u w:val="single"/>
        </w:rPr>
        <w:t>Lake and Cook County Early Neutral Evaluator (ENE) Fees</w:t>
      </w:r>
    </w:p>
    <w:p w14:paraId="7EE41337" w14:textId="77777777" w:rsidR="00286C56" w:rsidRDefault="00286C56" w:rsidP="00853F7C">
      <w:pPr>
        <w:jc w:val="both"/>
      </w:pPr>
    </w:p>
    <w:p w14:paraId="22FF8A07" w14:textId="48DDC53A" w:rsidR="00B6790D" w:rsidRDefault="00853F7C" w:rsidP="00853F7C">
      <w:pPr>
        <w:jc w:val="both"/>
      </w:pPr>
      <w:r>
        <w:t xml:space="preserve">Effective immediately, the rates for Financial </w:t>
      </w:r>
      <w:r w:rsidR="00286C56">
        <w:t>Early Neutral Evaluations (FENE) and</w:t>
      </w:r>
      <w:r>
        <w:t xml:space="preserve"> Social </w:t>
      </w:r>
      <w:r w:rsidR="00286C56">
        <w:t>Early Neutral Evaluations (SENE)</w:t>
      </w:r>
      <w:r>
        <w:t xml:space="preserve"> at the </w:t>
      </w:r>
      <w:r w:rsidR="00286C56">
        <w:t>Lake and Cook County</w:t>
      </w:r>
      <w:r>
        <w:t xml:space="preserve"> courthouse</w:t>
      </w:r>
      <w:r w:rsidR="00286C56">
        <w:t>s</w:t>
      </w:r>
      <w:r>
        <w:t xml:space="preserve"> will be as follows:</w:t>
      </w:r>
    </w:p>
    <w:p w14:paraId="405EEB9C" w14:textId="77777777" w:rsidR="00853F7C" w:rsidRDefault="00853F7C" w:rsidP="00853F7C">
      <w:pPr>
        <w:jc w:val="both"/>
      </w:pPr>
    </w:p>
    <w:tbl>
      <w:tblPr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"/>
        <w:gridCol w:w="3132"/>
        <w:gridCol w:w="77"/>
        <w:gridCol w:w="3043"/>
        <w:gridCol w:w="48"/>
      </w:tblGrid>
      <w:tr w:rsidR="00507AAE" w14:paraId="64E2A7A6" w14:textId="77777777" w:rsidTr="00507AAE">
        <w:trPr>
          <w:gridBefore w:val="1"/>
          <w:wBefore w:w="108" w:type="dxa"/>
          <w:trHeight w:val="340"/>
        </w:trPr>
        <w:tc>
          <w:tcPr>
            <w:tcW w:w="3209" w:type="dxa"/>
            <w:gridSpan w:val="2"/>
            <w:hideMark/>
          </w:tcPr>
          <w:p w14:paraId="14819AF0" w14:textId="77777777" w:rsidR="00507AAE" w:rsidRDefault="00507AAE" w:rsidP="00507AAE">
            <w:pPr>
              <w:pStyle w:val="BodyText"/>
              <w:jc w:val="right"/>
              <w:rPr>
                <w:u w:val="single"/>
              </w:rPr>
            </w:pPr>
            <w:r>
              <w:rPr>
                <w:u w:val="single"/>
              </w:rPr>
              <w:t>Gross Annual Family Income</w:t>
            </w:r>
          </w:p>
        </w:tc>
        <w:tc>
          <w:tcPr>
            <w:tcW w:w="3091" w:type="dxa"/>
            <w:gridSpan w:val="2"/>
            <w:hideMark/>
          </w:tcPr>
          <w:p w14:paraId="4B21A5CE" w14:textId="77777777" w:rsidR="00507AAE" w:rsidRDefault="00507AAE" w:rsidP="00507AAE">
            <w:pPr>
              <w:pStyle w:val="BodyText"/>
              <w:jc w:val="right"/>
              <w:rPr>
                <w:u w:val="single"/>
              </w:rPr>
            </w:pPr>
            <w:r>
              <w:rPr>
                <w:u w:val="single"/>
              </w:rPr>
              <w:t>Rate of Evaluator(s)</w:t>
            </w:r>
          </w:p>
        </w:tc>
      </w:tr>
      <w:tr w:rsidR="00507AAE" w14:paraId="7FB43E80" w14:textId="77777777" w:rsidTr="00507AAE">
        <w:trPr>
          <w:gridBefore w:val="1"/>
          <w:wBefore w:w="108" w:type="dxa"/>
          <w:trHeight w:val="353"/>
        </w:trPr>
        <w:tc>
          <w:tcPr>
            <w:tcW w:w="3209" w:type="dxa"/>
            <w:gridSpan w:val="2"/>
            <w:hideMark/>
          </w:tcPr>
          <w:p w14:paraId="66468702" w14:textId="77777777" w:rsidR="00507AAE" w:rsidRDefault="00507AAE" w:rsidP="00507AAE">
            <w:pPr>
              <w:pStyle w:val="BodyText"/>
              <w:jc w:val="right"/>
            </w:pPr>
            <w:r>
              <w:t>0 - $25,000</w:t>
            </w:r>
          </w:p>
        </w:tc>
        <w:tc>
          <w:tcPr>
            <w:tcW w:w="3091" w:type="dxa"/>
            <w:gridSpan w:val="2"/>
            <w:hideMark/>
          </w:tcPr>
          <w:p w14:paraId="3AB653A9" w14:textId="77777777" w:rsidR="00507AAE" w:rsidRDefault="00507AAE" w:rsidP="00507AAE">
            <w:pPr>
              <w:pStyle w:val="BodyText"/>
              <w:jc w:val="right"/>
            </w:pPr>
            <w:r>
              <w:t>$0.00</w:t>
            </w:r>
          </w:p>
        </w:tc>
      </w:tr>
      <w:tr w:rsidR="00507AAE" w14:paraId="3782E5F8" w14:textId="77777777" w:rsidTr="00507AAE">
        <w:trPr>
          <w:gridBefore w:val="1"/>
          <w:wBefore w:w="108" w:type="dxa"/>
          <w:trHeight w:val="340"/>
        </w:trPr>
        <w:tc>
          <w:tcPr>
            <w:tcW w:w="3209" w:type="dxa"/>
            <w:gridSpan w:val="2"/>
            <w:hideMark/>
          </w:tcPr>
          <w:p w14:paraId="40CEB8F9" w14:textId="77777777" w:rsidR="00507AAE" w:rsidRDefault="00507AAE" w:rsidP="00507AAE">
            <w:pPr>
              <w:pStyle w:val="BodyText"/>
              <w:jc w:val="right"/>
            </w:pPr>
            <w:r>
              <w:t>$25,000 - $50,000</w:t>
            </w:r>
          </w:p>
        </w:tc>
        <w:tc>
          <w:tcPr>
            <w:tcW w:w="3091" w:type="dxa"/>
            <w:gridSpan w:val="2"/>
            <w:hideMark/>
          </w:tcPr>
          <w:p w14:paraId="559B07B1" w14:textId="77777777" w:rsidR="00507AAE" w:rsidRDefault="00507AAE" w:rsidP="00507AAE">
            <w:pPr>
              <w:pStyle w:val="BodyText"/>
              <w:jc w:val="right"/>
            </w:pPr>
            <w:r>
              <w:t>$200/hour</w:t>
            </w:r>
          </w:p>
        </w:tc>
      </w:tr>
      <w:tr w:rsidR="00507AAE" w14:paraId="4E8A5550" w14:textId="77777777" w:rsidTr="00507AAE">
        <w:trPr>
          <w:gridBefore w:val="1"/>
          <w:wBefore w:w="108" w:type="dxa"/>
          <w:trHeight w:val="353"/>
        </w:trPr>
        <w:tc>
          <w:tcPr>
            <w:tcW w:w="3209" w:type="dxa"/>
            <w:gridSpan w:val="2"/>
            <w:hideMark/>
          </w:tcPr>
          <w:p w14:paraId="33BD3EAD" w14:textId="77777777" w:rsidR="00507AAE" w:rsidRDefault="00507AAE" w:rsidP="00507AAE">
            <w:pPr>
              <w:pStyle w:val="BodyText"/>
              <w:jc w:val="right"/>
            </w:pPr>
            <w:r>
              <w:t>$50,000 - $75,000</w:t>
            </w:r>
          </w:p>
        </w:tc>
        <w:tc>
          <w:tcPr>
            <w:tcW w:w="3091" w:type="dxa"/>
            <w:gridSpan w:val="2"/>
            <w:hideMark/>
          </w:tcPr>
          <w:p w14:paraId="7E1A35AE" w14:textId="77777777" w:rsidR="00507AAE" w:rsidRDefault="00507AAE" w:rsidP="00507AAE">
            <w:pPr>
              <w:pStyle w:val="BodyText"/>
              <w:jc w:val="right"/>
            </w:pPr>
            <w:r>
              <w:t>$240/hour</w:t>
            </w:r>
          </w:p>
        </w:tc>
      </w:tr>
      <w:tr w:rsidR="00507AAE" w14:paraId="120BDDFF" w14:textId="77777777" w:rsidTr="00507AAE">
        <w:trPr>
          <w:gridBefore w:val="1"/>
          <w:wBefore w:w="108" w:type="dxa"/>
          <w:trHeight w:val="181"/>
        </w:trPr>
        <w:tc>
          <w:tcPr>
            <w:tcW w:w="3209" w:type="dxa"/>
            <w:gridSpan w:val="2"/>
            <w:hideMark/>
          </w:tcPr>
          <w:p w14:paraId="2BF7B6B4" w14:textId="77777777" w:rsidR="00507AAE" w:rsidRDefault="00507AAE" w:rsidP="00507AAE">
            <w:pPr>
              <w:pStyle w:val="BodyText"/>
              <w:jc w:val="right"/>
            </w:pPr>
            <w:r>
              <w:t>$75,000 +</w:t>
            </w:r>
          </w:p>
        </w:tc>
        <w:tc>
          <w:tcPr>
            <w:tcW w:w="3091" w:type="dxa"/>
            <w:gridSpan w:val="2"/>
            <w:hideMark/>
          </w:tcPr>
          <w:p w14:paraId="5928ECA8" w14:textId="77777777" w:rsidR="00507AAE" w:rsidRDefault="00507AAE" w:rsidP="00507AAE">
            <w:pPr>
              <w:pStyle w:val="BodyText"/>
              <w:jc w:val="right"/>
            </w:pPr>
            <w:r>
              <w:t>$280/hour</w:t>
            </w:r>
          </w:p>
        </w:tc>
      </w:tr>
      <w:tr w:rsidR="00507AAE" w14:paraId="1C5CAB6F" w14:textId="77777777" w:rsidTr="00507AAE">
        <w:trPr>
          <w:gridBefore w:val="1"/>
          <w:wBefore w:w="108" w:type="dxa"/>
          <w:trHeight w:val="70"/>
        </w:trPr>
        <w:tc>
          <w:tcPr>
            <w:tcW w:w="3209" w:type="dxa"/>
            <w:gridSpan w:val="2"/>
          </w:tcPr>
          <w:p w14:paraId="6C5047DD" w14:textId="77777777" w:rsidR="00507AAE" w:rsidRDefault="00507AAE" w:rsidP="00507AAE">
            <w:pPr>
              <w:pStyle w:val="BodyText"/>
              <w:ind w:left="-168" w:right="-4728"/>
            </w:pPr>
          </w:p>
        </w:tc>
        <w:tc>
          <w:tcPr>
            <w:tcW w:w="3091" w:type="dxa"/>
            <w:gridSpan w:val="2"/>
          </w:tcPr>
          <w:p w14:paraId="5EE1ED62" w14:textId="77777777" w:rsidR="00507AAE" w:rsidRDefault="00507AAE" w:rsidP="00507AAE">
            <w:pPr>
              <w:pStyle w:val="BodyText"/>
            </w:pPr>
          </w:p>
        </w:tc>
      </w:tr>
      <w:tr w:rsidR="00853F7C" w14:paraId="7DCD4823" w14:textId="77777777" w:rsidTr="00853F7C">
        <w:tblPrEx>
          <w:tblLook w:val="0000" w:firstRow="0" w:lastRow="0" w:firstColumn="0" w:lastColumn="0" w:noHBand="0" w:noVBand="0"/>
        </w:tblPrEx>
        <w:trPr>
          <w:gridAfter w:val="1"/>
          <w:wAfter w:w="48" w:type="dxa"/>
        </w:trPr>
        <w:tc>
          <w:tcPr>
            <w:tcW w:w="3240" w:type="dxa"/>
            <w:gridSpan w:val="2"/>
          </w:tcPr>
          <w:p w14:paraId="2A298B35" w14:textId="77777777" w:rsidR="00853F7C" w:rsidRPr="000315CC" w:rsidRDefault="00853F7C" w:rsidP="00853F7C">
            <w:pPr>
              <w:pStyle w:val="BodyText"/>
              <w:jc w:val="right"/>
              <w:rPr>
                <w:u w:val="single"/>
              </w:rPr>
            </w:pPr>
          </w:p>
        </w:tc>
        <w:tc>
          <w:tcPr>
            <w:tcW w:w="3120" w:type="dxa"/>
            <w:gridSpan w:val="2"/>
          </w:tcPr>
          <w:p w14:paraId="16CE277B" w14:textId="77777777" w:rsidR="00853F7C" w:rsidRPr="000315CC" w:rsidRDefault="00853F7C" w:rsidP="00853F7C">
            <w:pPr>
              <w:pStyle w:val="BodyText"/>
              <w:jc w:val="right"/>
              <w:rPr>
                <w:u w:val="single"/>
              </w:rPr>
            </w:pPr>
          </w:p>
        </w:tc>
      </w:tr>
      <w:tr w:rsidR="00853F7C" w14:paraId="574CA7AF" w14:textId="77777777" w:rsidTr="00853F7C">
        <w:tblPrEx>
          <w:tblLook w:val="0000" w:firstRow="0" w:lastRow="0" w:firstColumn="0" w:lastColumn="0" w:noHBand="0" w:noVBand="0"/>
        </w:tblPrEx>
        <w:trPr>
          <w:gridAfter w:val="1"/>
          <w:wAfter w:w="48" w:type="dxa"/>
        </w:trPr>
        <w:tc>
          <w:tcPr>
            <w:tcW w:w="3240" w:type="dxa"/>
            <w:gridSpan w:val="2"/>
          </w:tcPr>
          <w:p w14:paraId="4755583B" w14:textId="77777777" w:rsidR="00853F7C" w:rsidRDefault="00853F7C" w:rsidP="00853F7C">
            <w:pPr>
              <w:pStyle w:val="BodyText"/>
              <w:jc w:val="right"/>
            </w:pPr>
          </w:p>
        </w:tc>
        <w:tc>
          <w:tcPr>
            <w:tcW w:w="3120" w:type="dxa"/>
            <w:gridSpan w:val="2"/>
          </w:tcPr>
          <w:p w14:paraId="3026B078" w14:textId="77777777" w:rsidR="00853F7C" w:rsidRDefault="00853F7C" w:rsidP="00853F7C">
            <w:pPr>
              <w:pStyle w:val="BodyText"/>
              <w:jc w:val="right"/>
            </w:pPr>
          </w:p>
        </w:tc>
      </w:tr>
      <w:tr w:rsidR="00853F7C" w14:paraId="56106E45" w14:textId="77777777" w:rsidTr="00853F7C">
        <w:tblPrEx>
          <w:tblLook w:val="0000" w:firstRow="0" w:lastRow="0" w:firstColumn="0" w:lastColumn="0" w:noHBand="0" w:noVBand="0"/>
        </w:tblPrEx>
        <w:trPr>
          <w:gridAfter w:val="1"/>
          <w:wAfter w:w="48" w:type="dxa"/>
        </w:trPr>
        <w:tc>
          <w:tcPr>
            <w:tcW w:w="3240" w:type="dxa"/>
            <w:gridSpan w:val="2"/>
          </w:tcPr>
          <w:p w14:paraId="32C9D857" w14:textId="77777777" w:rsidR="00853F7C" w:rsidRDefault="00853F7C" w:rsidP="00853F7C">
            <w:pPr>
              <w:pStyle w:val="BodyText"/>
              <w:jc w:val="right"/>
            </w:pPr>
          </w:p>
        </w:tc>
        <w:tc>
          <w:tcPr>
            <w:tcW w:w="3120" w:type="dxa"/>
            <w:gridSpan w:val="2"/>
          </w:tcPr>
          <w:p w14:paraId="047D4D70" w14:textId="77777777" w:rsidR="00853F7C" w:rsidRDefault="00853F7C" w:rsidP="00853F7C">
            <w:pPr>
              <w:pStyle w:val="BodyText"/>
              <w:jc w:val="right"/>
            </w:pPr>
          </w:p>
        </w:tc>
      </w:tr>
      <w:tr w:rsidR="00853F7C" w14:paraId="3A3982C4" w14:textId="77777777" w:rsidTr="00853F7C">
        <w:tblPrEx>
          <w:tblLook w:val="0000" w:firstRow="0" w:lastRow="0" w:firstColumn="0" w:lastColumn="0" w:noHBand="0" w:noVBand="0"/>
        </w:tblPrEx>
        <w:trPr>
          <w:gridAfter w:val="1"/>
          <w:wAfter w:w="48" w:type="dxa"/>
        </w:trPr>
        <w:tc>
          <w:tcPr>
            <w:tcW w:w="3240" w:type="dxa"/>
            <w:gridSpan w:val="2"/>
          </w:tcPr>
          <w:p w14:paraId="4F6329D4" w14:textId="77777777" w:rsidR="00853F7C" w:rsidRDefault="00853F7C" w:rsidP="00853F7C">
            <w:pPr>
              <w:pStyle w:val="BodyText"/>
              <w:jc w:val="right"/>
            </w:pPr>
          </w:p>
        </w:tc>
        <w:tc>
          <w:tcPr>
            <w:tcW w:w="3120" w:type="dxa"/>
            <w:gridSpan w:val="2"/>
          </w:tcPr>
          <w:p w14:paraId="2A487EE9" w14:textId="77777777" w:rsidR="00853F7C" w:rsidRDefault="00853F7C" w:rsidP="00853F7C">
            <w:pPr>
              <w:pStyle w:val="BodyText"/>
              <w:jc w:val="right"/>
            </w:pPr>
          </w:p>
        </w:tc>
      </w:tr>
      <w:tr w:rsidR="00853F7C" w14:paraId="0DFD8B24" w14:textId="77777777" w:rsidTr="00853F7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450"/>
        </w:trPr>
        <w:tc>
          <w:tcPr>
            <w:tcW w:w="3240" w:type="dxa"/>
            <w:gridSpan w:val="2"/>
          </w:tcPr>
          <w:p w14:paraId="4B5A760A" w14:textId="77777777" w:rsidR="00853F7C" w:rsidRDefault="00853F7C" w:rsidP="00853F7C">
            <w:pPr>
              <w:pStyle w:val="BodyText"/>
              <w:jc w:val="right"/>
            </w:pPr>
          </w:p>
        </w:tc>
        <w:tc>
          <w:tcPr>
            <w:tcW w:w="3120" w:type="dxa"/>
            <w:gridSpan w:val="2"/>
          </w:tcPr>
          <w:p w14:paraId="686F397E" w14:textId="77777777" w:rsidR="00853F7C" w:rsidRDefault="00853F7C" w:rsidP="00853F7C">
            <w:pPr>
              <w:pStyle w:val="BodyText"/>
              <w:ind w:left="-4848" w:right="6932"/>
              <w:jc w:val="right"/>
            </w:pPr>
          </w:p>
        </w:tc>
      </w:tr>
      <w:tr w:rsidR="00853F7C" w14:paraId="5908FE72" w14:textId="77777777" w:rsidTr="00853F7C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80"/>
        </w:trPr>
        <w:tc>
          <w:tcPr>
            <w:tcW w:w="3240" w:type="dxa"/>
            <w:gridSpan w:val="2"/>
          </w:tcPr>
          <w:p w14:paraId="52CF9AED" w14:textId="77777777" w:rsidR="00853F7C" w:rsidRDefault="00853F7C" w:rsidP="00853F7C">
            <w:pPr>
              <w:pStyle w:val="BodyText"/>
              <w:ind w:left="-168" w:right="-4728"/>
            </w:pPr>
          </w:p>
        </w:tc>
        <w:tc>
          <w:tcPr>
            <w:tcW w:w="3120" w:type="dxa"/>
            <w:gridSpan w:val="2"/>
          </w:tcPr>
          <w:p w14:paraId="01774E71" w14:textId="77777777" w:rsidR="00853F7C" w:rsidRDefault="00853F7C" w:rsidP="00853F7C">
            <w:pPr>
              <w:pStyle w:val="BodyText"/>
              <w:jc w:val="right"/>
            </w:pPr>
          </w:p>
        </w:tc>
      </w:tr>
    </w:tbl>
    <w:p w14:paraId="49163A80" w14:textId="77777777" w:rsidR="00507AAE" w:rsidRDefault="00507AAE" w:rsidP="00853F7C">
      <w:pPr>
        <w:jc w:val="both"/>
      </w:pPr>
    </w:p>
    <w:p w14:paraId="74CF12B2" w14:textId="77777777" w:rsidR="00507AAE" w:rsidRPr="00507AAE" w:rsidRDefault="00507AAE" w:rsidP="00507AAE"/>
    <w:p w14:paraId="470D1A78" w14:textId="77777777" w:rsidR="00507AAE" w:rsidRPr="00507AAE" w:rsidRDefault="00507AAE" w:rsidP="00507AAE"/>
    <w:p w14:paraId="5CBD4555" w14:textId="77777777" w:rsidR="00507AAE" w:rsidRPr="00507AAE" w:rsidRDefault="00507AAE" w:rsidP="00507AAE"/>
    <w:p w14:paraId="6419C29E" w14:textId="77777777" w:rsidR="00507AAE" w:rsidRPr="00507AAE" w:rsidRDefault="00507AAE" w:rsidP="00507AAE"/>
    <w:p w14:paraId="4B4C0116" w14:textId="77777777" w:rsidR="00507AAE" w:rsidRDefault="00507AAE" w:rsidP="00853F7C">
      <w:pPr>
        <w:jc w:val="both"/>
      </w:pPr>
    </w:p>
    <w:p w14:paraId="3DD29317" w14:textId="77777777" w:rsidR="00853F7C" w:rsidRDefault="00853F7C" w:rsidP="00853F7C">
      <w:pPr>
        <w:jc w:val="both"/>
      </w:pPr>
      <w:r>
        <w:br w:type="textWrapping" w:clear="all"/>
        <w:t xml:space="preserve">Hourly rates </w:t>
      </w:r>
      <w:r w:rsidR="009D4DCB">
        <w:t xml:space="preserve">indicated are the total hourly charge to the parties.  </w:t>
      </w:r>
      <w:r>
        <w:t>Each party will be responsible for one-half of the fee unless otherwise agreed upon by the parties.</w:t>
      </w:r>
      <w:r w:rsidR="006D5E0B">
        <w:t xml:space="preserve">  Payment must be made at the time of each session.</w:t>
      </w:r>
    </w:p>
    <w:sectPr w:rsidR="00853F7C" w:rsidSect="00B6790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D676" w14:textId="77777777" w:rsidR="00286C56" w:rsidRDefault="00286C56" w:rsidP="00286C56">
      <w:r>
        <w:separator/>
      </w:r>
    </w:p>
  </w:endnote>
  <w:endnote w:type="continuationSeparator" w:id="0">
    <w:p w14:paraId="7F8EB901" w14:textId="77777777" w:rsidR="00286C56" w:rsidRDefault="00286C56" w:rsidP="0028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4E58" w14:textId="5BD4B6A4" w:rsidR="00286C56" w:rsidRDefault="00286C56">
    <w:pPr>
      <w:pStyle w:val="Footer"/>
    </w:pPr>
    <w:r>
      <w:t>Revised May 21, 2024</w:t>
    </w:r>
  </w:p>
  <w:p w14:paraId="66835F89" w14:textId="77777777" w:rsidR="00286C56" w:rsidRDefault="00286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E730" w14:textId="77777777" w:rsidR="00286C56" w:rsidRDefault="00286C56" w:rsidP="00286C56">
      <w:r>
        <w:separator/>
      </w:r>
    </w:p>
  </w:footnote>
  <w:footnote w:type="continuationSeparator" w:id="0">
    <w:p w14:paraId="7772864D" w14:textId="77777777" w:rsidR="00286C56" w:rsidRDefault="00286C56" w:rsidP="00286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D3A8B"/>
    <w:multiLevelType w:val="multilevel"/>
    <w:tmpl w:val="3532378E"/>
    <w:name w:val="zzmpMBStandard||MB Standard|2|3|1|1|2|0||1|2|0||1|2|0||1|2|0||1|2|0||1|12|0||1|12|0||1|12|0||1|12|0||"/>
    <w:lvl w:ilvl="0">
      <w:start w:val="1"/>
      <w:numFmt w:val="decimal"/>
      <w:lvlRestart w:val="0"/>
      <w:pStyle w:val="MBStandardL1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u w:val="none"/>
      </w:rPr>
    </w:lvl>
    <w:lvl w:ilvl="1">
      <w:start w:val="1"/>
      <w:numFmt w:val="lowerLetter"/>
      <w:pStyle w:val="MBStandardL2"/>
      <w:lvlText w:val="%2.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iCs w:val="0"/>
        <w:caps w:val="0"/>
        <w:u w:val="none"/>
      </w:rPr>
    </w:lvl>
    <w:lvl w:ilvl="2">
      <w:start w:val="1"/>
      <w:numFmt w:val="decimal"/>
      <w:pStyle w:val="MBStandardL3"/>
      <w:lvlText w:val="%3)"/>
      <w:lvlJc w:val="left"/>
      <w:pPr>
        <w:tabs>
          <w:tab w:val="num" w:pos="2160"/>
        </w:tabs>
        <w:ind w:left="2160" w:hanging="720"/>
      </w:pPr>
      <w:rPr>
        <w:b w:val="0"/>
        <w:bCs w:val="0"/>
        <w:i w:val="0"/>
        <w:iCs w:val="0"/>
        <w:caps w:val="0"/>
        <w:u w:val="none"/>
      </w:rPr>
    </w:lvl>
    <w:lvl w:ilvl="3">
      <w:start w:val="1"/>
      <w:numFmt w:val="lowerLetter"/>
      <w:pStyle w:val="MBStandardL4"/>
      <w:lvlText w:val="%4)"/>
      <w:lvlJc w:val="left"/>
      <w:pPr>
        <w:tabs>
          <w:tab w:val="num" w:pos="2880"/>
        </w:tabs>
        <w:ind w:left="2880" w:hanging="720"/>
      </w:pPr>
      <w:rPr>
        <w:b w:val="0"/>
        <w:bCs w:val="0"/>
        <w:i w:val="0"/>
        <w:iCs w:val="0"/>
        <w:caps w:val="0"/>
        <w:u w:val="none"/>
      </w:rPr>
    </w:lvl>
    <w:lvl w:ilvl="4">
      <w:start w:val="1"/>
      <w:numFmt w:val="lowerRoman"/>
      <w:pStyle w:val="MBStandardL5"/>
      <w:lvlText w:val="%5."/>
      <w:lvlJc w:val="left"/>
      <w:pPr>
        <w:tabs>
          <w:tab w:val="num" w:pos="3600"/>
        </w:tabs>
        <w:ind w:left="3600" w:hanging="720"/>
      </w:pPr>
      <w:rPr>
        <w:b w:val="0"/>
        <w:bCs w:val="0"/>
        <w:i w:val="0"/>
        <w:iCs w:val="0"/>
        <w:caps w:val="0"/>
        <w:u w:val="none"/>
      </w:rPr>
    </w:lvl>
    <w:lvl w:ilvl="5">
      <w:start w:val="1"/>
      <w:numFmt w:val="lowerLetter"/>
      <w:pStyle w:val="MBStandardL6"/>
      <w:lvlText w:val="(%6)"/>
      <w:lvlJc w:val="left"/>
      <w:pPr>
        <w:tabs>
          <w:tab w:val="num" w:pos="4320"/>
        </w:tabs>
        <w:ind w:left="4320" w:hanging="720"/>
      </w:pPr>
      <w:rPr>
        <w:b w:val="0"/>
        <w:bCs w:val="0"/>
        <w:i w:val="0"/>
        <w:iCs w:val="0"/>
        <w:caps w:val="0"/>
        <w:u w:val="none"/>
      </w:rPr>
    </w:lvl>
    <w:lvl w:ilvl="6">
      <w:start w:val="1"/>
      <w:numFmt w:val="decimal"/>
      <w:pStyle w:val="MBStandardL7"/>
      <w:lvlText w:val="%7)"/>
      <w:lvlJc w:val="left"/>
      <w:pPr>
        <w:tabs>
          <w:tab w:val="num" w:pos="5040"/>
        </w:tabs>
        <w:ind w:left="5040" w:hanging="720"/>
      </w:pPr>
      <w:rPr>
        <w:b w:val="0"/>
        <w:bCs w:val="0"/>
        <w:i w:val="0"/>
        <w:iCs w:val="0"/>
        <w:caps w:val="0"/>
        <w:u w:val="none"/>
      </w:rPr>
    </w:lvl>
    <w:lvl w:ilvl="7">
      <w:start w:val="1"/>
      <w:numFmt w:val="lowerLetter"/>
      <w:pStyle w:val="MBStandardL8"/>
      <w:lvlText w:val="%8)"/>
      <w:lvlJc w:val="left"/>
      <w:pPr>
        <w:tabs>
          <w:tab w:val="num" w:pos="5760"/>
        </w:tabs>
        <w:ind w:left="5760" w:hanging="720"/>
      </w:pPr>
      <w:rPr>
        <w:b w:val="0"/>
        <w:bCs w:val="0"/>
        <w:i w:val="0"/>
        <w:iCs w:val="0"/>
        <w:caps w:val="0"/>
        <w:u w:val="none"/>
      </w:rPr>
    </w:lvl>
    <w:lvl w:ilvl="8">
      <w:start w:val="1"/>
      <w:numFmt w:val="lowerRoman"/>
      <w:pStyle w:val="MBStandardL9"/>
      <w:lvlText w:val="%9)"/>
      <w:lvlJc w:val="left"/>
      <w:pPr>
        <w:tabs>
          <w:tab w:val="num" w:pos="6480"/>
        </w:tabs>
        <w:ind w:left="6480" w:hanging="720"/>
      </w:pPr>
      <w:rPr>
        <w:b w:val="0"/>
        <w:bCs w:val="0"/>
        <w:i w:val="0"/>
        <w:iCs w:val="0"/>
        <w:caps w:val="0"/>
        <w:u w:val="none"/>
      </w:rPr>
    </w:lvl>
  </w:abstractNum>
  <w:num w:numId="1" w16cid:durableId="113660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7C"/>
    <w:rsid w:val="00050AF4"/>
    <w:rsid w:val="00286C56"/>
    <w:rsid w:val="00507AAE"/>
    <w:rsid w:val="006D5E0B"/>
    <w:rsid w:val="00853F7C"/>
    <w:rsid w:val="009D4DCB"/>
    <w:rsid w:val="00B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4964"/>
  <w15:docId w15:val="{F6988676-0CF6-4B72-9C3A-BCE81F39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StandardL1">
    <w:name w:val="MBStandard_L1"/>
    <w:basedOn w:val="Normal"/>
    <w:rsid w:val="00853F7C"/>
    <w:pPr>
      <w:numPr>
        <w:numId w:val="1"/>
      </w:numPr>
      <w:spacing w:after="240"/>
      <w:jc w:val="both"/>
      <w:outlineLvl w:val="0"/>
    </w:pPr>
    <w:rPr>
      <w:rFonts w:eastAsia="Times New Roman" w:cs="Times New Roman"/>
      <w:szCs w:val="24"/>
    </w:rPr>
  </w:style>
  <w:style w:type="paragraph" w:customStyle="1" w:styleId="MBStandardL2">
    <w:name w:val="MBStandard_L2"/>
    <w:basedOn w:val="MBStandardL1"/>
    <w:rsid w:val="00853F7C"/>
    <w:pPr>
      <w:numPr>
        <w:ilvl w:val="1"/>
      </w:numPr>
      <w:outlineLvl w:val="1"/>
    </w:pPr>
  </w:style>
  <w:style w:type="paragraph" w:customStyle="1" w:styleId="MBStandardL3">
    <w:name w:val="MBStandard_L3"/>
    <w:basedOn w:val="MBStandardL2"/>
    <w:rsid w:val="00853F7C"/>
    <w:pPr>
      <w:numPr>
        <w:ilvl w:val="2"/>
      </w:numPr>
      <w:tabs>
        <w:tab w:val="clear" w:pos="2160"/>
        <w:tab w:val="num" w:pos="1440"/>
      </w:tabs>
      <w:ind w:left="1440"/>
    </w:pPr>
  </w:style>
  <w:style w:type="paragraph" w:customStyle="1" w:styleId="MBStandardL4">
    <w:name w:val="MBStandard_L4"/>
    <w:basedOn w:val="MBStandardL3"/>
    <w:rsid w:val="00853F7C"/>
    <w:pPr>
      <w:numPr>
        <w:ilvl w:val="3"/>
      </w:numPr>
      <w:outlineLvl w:val="3"/>
    </w:pPr>
  </w:style>
  <w:style w:type="paragraph" w:customStyle="1" w:styleId="MBStandardL5">
    <w:name w:val="MBStandard_L5"/>
    <w:basedOn w:val="MBStandardL4"/>
    <w:next w:val="Normal"/>
    <w:rsid w:val="00853F7C"/>
    <w:pPr>
      <w:numPr>
        <w:ilvl w:val="4"/>
      </w:numPr>
      <w:outlineLvl w:val="4"/>
    </w:pPr>
  </w:style>
  <w:style w:type="paragraph" w:customStyle="1" w:styleId="MBStandardL6">
    <w:name w:val="MBStandard_L6"/>
    <w:basedOn w:val="MBStandardL5"/>
    <w:next w:val="Normal"/>
    <w:rsid w:val="00853F7C"/>
    <w:pPr>
      <w:numPr>
        <w:ilvl w:val="5"/>
      </w:numPr>
      <w:jc w:val="left"/>
      <w:outlineLvl w:val="5"/>
    </w:pPr>
  </w:style>
  <w:style w:type="paragraph" w:customStyle="1" w:styleId="MBStandardL7">
    <w:name w:val="MBStandard_L7"/>
    <w:basedOn w:val="MBStandardL6"/>
    <w:next w:val="Normal"/>
    <w:rsid w:val="00853F7C"/>
    <w:pPr>
      <w:numPr>
        <w:ilvl w:val="6"/>
      </w:numPr>
      <w:outlineLvl w:val="6"/>
    </w:pPr>
  </w:style>
  <w:style w:type="paragraph" w:customStyle="1" w:styleId="MBStandardL8">
    <w:name w:val="MBStandard_L8"/>
    <w:basedOn w:val="MBStandardL7"/>
    <w:next w:val="Normal"/>
    <w:rsid w:val="00853F7C"/>
    <w:pPr>
      <w:numPr>
        <w:ilvl w:val="7"/>
      </w:numPr>
      <w:outlineLvl w:val="7"/>
    </w:pPr>
  </w:style>
  <w:style w:type="paragraph" w:customStyle="1" w:styleId="MBStandardL9">
    <w:name w:val="MBStandard_L9"/>
    <w:basedOn w:val="MBStandardL8"/>
    <w:next w:val="Normal"/>
    <w:rsid w:val="00853F7C"/>
    <w:pPr>
      <w:numPr>
        <w:ilvl w:val="8"/>
      </w:numPr>
      <w:outlineLvl w:val="8"/>
    </w:pPr>
  </w:style>
  <w:style w:type="paragraph" w:styleId="BodyText">
    <w:name w:val="Body Text"/>
    <w:basedOn w:val="Normal"/>
    <w:link w:val="BodyTextChar"/>
    <w:rsid w:val="00853F7C"/>
    <w:pPr>
      <w:spacing w:after="12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53F7C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86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C56"/>
  </w:style>
  <w:style w:type="paragraph" w:styleId="Footer">
    <w:name w:val="footer"/>
    <w:basedOn w:val="Normal"/>
    <w:link w:val="FooterChar"/>
    <w:uiPriority w:val="99"/>
    <w:unhideWhenUsed/>
    <w:rsid w:val="00286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6486-05A5-411F-8D14-665E9962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Judicial Branch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tarnowskis</dc:creator>
  <cp:keywords/>
  <dc:description/>
  <cp:lastModifiedBy>Pennington, Renee</cp:lastModifiedBy>
  <cp:revision>2</cp:revision>
  <dcterms:created xsi:type="dcterms:W3CDTF">2024-06-05T21:08:00Z</dcterms:created>
  <dcterms:modified xsi:type="dcterms:W3CDTF">2024-06-05T21:08:00Z</dcterms:modified>
</cp:coreProperties>
</file>