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6EB5" w14:textId="77777777" w:rsidR="003D0F36" w:rsidRPr="00083576" w:rsidRDefault="00E106CB" w:rsidP="00FA1B6F">
      <w:pPr>
        <w:spacing w:after="0"/>
        <w:rPr>
          <w:rFonts w:cs="Arial"/>
          <w:sz w:val="22"/>
          <w:szCs w:val="22"/>
        </w:rPr>
      </w:pPr>
      <w:r>
        <w:rPr>
          <w:noProof/>
        </w:rPr>
        <mc:AlternateContent>
          <mc:Choice Requires="wpg">
            <w:drawing>
              <wp:anchor distT="0" distB="0" distL="114300" distR="114300" simplePos="0" relativeHeight="251658752" behindDoc="1" locked="0" layoutInCell="1" allowOverlap="1" wp14:anchorId="2AC551EC" wp14:editId="6EE4864D">
                <wp:simplePos x="0" y="0"/>
                <wp:positionH relativeFrom="column">
                  <wp:posOffset>0</wp:posOffset>
                </wp:positionH>
                <wp:positionV relativeFrom="paragraph">
                  <wp:posOffset>21590</wp:posOffset>
                </wp:positionV>
                <wp:extent cx="6400800" cy="1295400"/>
                <wp:effectExtent l="0" t="0" r="0" b="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95400"/>
                          <a:chOff x="1080" y="1114"/>
                          <a:chExt cx="10080" cy="1770"/>
                        </a:xfrm>
                      </wpg:grpSpPr>
                      <wps:wsp>
                        <wps:cNvPr id="6" name="Rectangle 3"/>
                        <wps:cNvSpPr>
                          <a:spLocks noChangeArrowheads="1"/>
                        </wps:cNvSpPr>
                        <wps:spPr bwMode="auto">
                          <a:xfrm>
                            <a:off x="1080" y="1114"/>
                            <a:ext cx="10080" cy="7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4"/>
                        <wps:cNvSpPr>
                          <a:spLocks noChangeArrowheads="1"/>
                        </wps:cNvSpPr>
                        <wps:spPr bwMode="auto">
                          <a:xfrm>
                            <a:off x="1080" y="2812"/>
                            <a:ext cx="10080" cy="7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F54515B" id="Group 7" o:spid="_x0000_s1026" style="position:absolute;margin-left:0;margin-top:1.7pt;width:7in;height:102pt;z-index:-251657728" coordorigin="1080,1114" coordsize="10080,1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">
                <v:rect id="Rectangle 3" o:spid="_x0000_s1027" style="position:absolute;left:1080;top:1114;width:10080;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ThDwgAA&#10;ANoAAAAPAAAAZHJzL2Rvd25yZXYueG1sRI9BawIxFITvBf9DeEJvNasHaVejiFbwUqirB4/PzXOz&#10;uHnZJnF3+++bQqHHYWa+YZbrwTaiIx9qxwqmkwwEcel0zZWC82n/8goiRGSNjWNS8E0B1qvR0xJz&#10;7Xo+UlfESiQIhxwVmBjbXMpQGrIYJq4lTt7NeYsxSV9J7bFPcNvIWZbNpcWa04LBlraGynvxsInS&#10;f7xd+s+w8V+XgrP367HbtUap5/GwWYCINMT/8F/7oBXM4fdKu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JOEPCAAAA2gAAAA8AAAAAAAAAAAAAAAAAlwIAAGRycy9kb3du&#10;cmV2LnhtbFBLBQYAAAAABAAEAPUAAACGAwAAAAA=&#10;" fillcolor="black" stroked="f" strokeweight="0">
                  <v:shadow color="gray" opacity="1" mv:blur="0" offset="2pt,2pt"/>
                </v:rect>
                <v:rect id="Rectangle 4" o:spid="_x0000_s1028" style="position:absolute;left:1080;top:2812;width:10080;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Z3YwwAA&#10;ANoAAAAPAAAAZHJzL2Rvd25yZXYueG1sRI/BbsIwEETvlfgHa5F6Kw49tCVgEKJU6qVSCRw4LvES&#10;R8TrYJsk/fu6UiWOo5l5o1msBtuIjnyoHSuYTjIQxKXTNVcKDvuPpzcQISJrbByTgh8KsFqOHhaY&#10;a9fzjroiViJBOOSowMTY5lKG0pDFMHEtcfLOzluMSfpKao99gttGPmfZi7RYc1ow2NLGUHkpbjZR&#10;+q/Zsf8Oa389FpxtT7vuvTVKPY6H9RxEpCHew//tT63gFf6upBs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Z3YwwAAANoAAAAPAAAAAAAAAAAAAAAAAJcCAABkcnMvZG93&#10;bnJldi54bWxQSwUGAAAAAAQABAD1AAAAhwMAAAAA&#10;" fillcolor="black" stroked="f" strokeweight="0">
                  <v:shadow color="gray" opacity="1" mv:blur="0" offset="2pt,2pt"/>
                </v:rect>
              </v:group>
            </w:pict>
          </mc:Fallback>
        </mc:AlternateContent>
      </w:r>
      <w:r>
        <w:rPr>
          <w:noProof/>
        </w:rPr>
        <mc:AlternateContent>
          <mc:Choice Requires="wps">
            <w:drawing>
              <wp:anchor distT="0" distB="0" distL="114300" distR="114300" simplePos="0" relativeHeight="251657728" behindDoc="1" locked="1" layoutInCell="0" allowOverlap="1" wp14:anchorId="50012152" wp14:editId="56682F9D">
                <wp:simplePos x="0" y="0"/>
                <wp:positionH relativeFrom="margin">
                  <wp:posOffset>400050</wp:posOffset>
                </wp:positionH>
                <wp:positionV relativeFrom="page">
                  <wp:posOffset>1086485</wp:posOffset>
                </wp:positionV>
                <wp:extent cx="1811655" cy="1028700"/>
                <wp:effectExtent l="6350" t="0" r="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456824" w14:textId="77777777" w:rsidR="009E3222" w:rsidRDefault="009E3222" w:rsidP="003D0F36">
                            <w:r w:rsidRPr="003D0F36">
                              <w:rPr>
                                <w:noProof/>
                                <w:sz w:val="20"/>
                              </w:rPr>
                              <w:drawing>
                                <wp:inline distT="0" distB="0" distL="0" distR="0" wp14:anchorId="06A64D74" wp14:editId="34F60759">
                                  <wp:extent cx="1810385" cy="997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70" t="-3145" r="-470" b="-11533"/>
                                          <a:stretch>
                                            <a:fillRect/>
                                          </a:stretch>
                                        </pic:blipFill>
                                        <pic:spPr bwMode="auto">
                                          <a:xfrm>
                                            <a:off x="0" y="0"/>
                                            <a:ext cx="1810385" cy="99758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12152" id="Rectangle 2" o:spid="_x0000_s1026" style="position:absolute;margin-left:31.5pt;margin-top:85.55pt;width:142.65pt;height:81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" o:allowincell="f" filled="f" stroked="f" strokeweight="0">
                <v:textbox inset="0,0,0,0">
                  <w:txbxContent>
                    <w:p w14:paraId="66456824" w14:textId="77777777" w:rsidR="009E3222" w:rsidRDefault="009E3222" w:rsidP="003D0F36">
                      <w:r w:rsidRPr="003D0F36">
                        <w:rPr>
                          <w:noProof/>
                          <w:sz w:val="20"/>
                        </w:rPr>
                        <w:drawing>
                          <wp:inline distT="0" distB="0" distL="0" distR="0" wp14:anchorId="06A64D74" wp14:editId="34F60759">
                            <wp:extent cx="1810385" cy="997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70" t="-3145" r="-470" b="-11533"/>
                                    <a:stretch>
                                      <a:fillRect/>
                                    </a:stretch>
                                  </pic:blipFill>
                                  <pic:spPr bwMode="auto">
                                    <a:xfrm>
                                      <a:off x="0" y="0"/>
                                      <a:ext cx="1810385" cy="997585"/>
                                    </a:xfrm>
                                    <a:prstGeom prst="rect">
                                      <a:avLst/>
                                    </a:prstGeom>
                                    <a:noFill/>
                                    <a:ln>
                                      <a:noFill/>
                                    </a:ln>
                                  </pic:spPr>
                                </pic:pic>
                              </a:graphicData>
                            </a:graphic>
                          </wp:inline>
                        </w:drawing>
                      </w:r>
                    </w:p>
                  </w:txbxContent>
                </v:textbox>
                <w10:wrap anchorx="margin" anchory="page"/>
                <w10:anchorlock/>
              </v:rect>
            </w:pict>
          </mc:Fallback>
        </mc:AlternateContent>
      </w:r>
    </w:p>
    <w:p w14:paraId="401F8D00" w14:textId="7872A47D" w:rsidR="003D0F36" w:rsidRPr="00920F62" w:rsidRDefault="003D0F36" w:rsidP="00920F62">
      <w:pPr>
        <w:tabs>
          <w:tab w:val="center" w:pos="7200"/>
        </w:tabs>
        <w:spacing w:after="0"/>
        <w:rPr>
          <w:rFonts w:cs="Arial"/>
          <w:b/>
          <w:sz w:val="22"/>
          <w:szCs w:val="22"/>
        </w:rPr>
      </w:pPr>
      <w:r w:rsidRPr="00083576">
        <w:rPr>
          <w:rFonts w:cs="Arial"/>
          <w:sz w:val="22"/>
          <w:szCs w:val="22"/>
        </w:rPr>
        <w:tab/>
      </w:r>
      <w:r w:rsidRPr="004F46D1">
        <w:rPr>
          <w:rFonts w:cs="Arial"/>
          <w:b/>
          <w:sz w:val="22"/>
          <w:szCs w:val="22"/>
        </w:rPr>
        <w:t>LEGAL SERVICES GRANT PROGRAMS</w:t>
      </w:r>
      <w:r w:rsidRPr="00083576">
        <w:rPr>
          <w:sz w:val="22"/>
          <w:szCs w:val="22"/>
        </w:rPr>
        <w:tab/>
      </w:r>
      <w:r w:rsidRPr="00920F62">
        <w:rPr>
          <w:b/>
          <w:sz w:val="22"/>
          <w:szCs w:val="22"/>
        </w:rPr>
        <w:t>STATE COURT ADMINISTRATOR’S OFFICE</w:t>
      </w:r>
    </w:p>
    <w:p w14:paraId="1570FF36" w14:textId="77777777" w:rsidR="003D0F36" w:rsidRPr="00083576" w:rsidRDefault="003D0F36" w:rsidP="009870A1">
      <w:pPr>
        <w:tabs>
          <w:tab w:val="center" w:pos="7200"/>
        </w:tabs>
        <w:spacing w:after="0"/>
        <w:rPr>
          <w:rFonts w:cs="Arial"/>
          <w:sz w:val="22"/>
          <w:szCs w:val="22"/>
        </w:rPr>
      </w:pPr>
      <w:r>
        <w:rPr>
          <w:rFonts w:cs="Arial"/>
          <w:sz w:val="22"/>
          <w:szCs w:val="22"/>
        </w:rPr>
        <w:tab/>
        <w:t>25 Rev. Dr. Martin Luther King,</w:t>
      </w:r>
      <w:r w:rsidRPr="00083576">
        <w:rPr>
          <w:rFonts w:cs="Arial"/>
          <w:sz w:val="22"/>
          <w:szCs w:val="22"/>
        </w:rPr>
        <w:t xml:space="preserve"> Jr. Blvd.</w:t>
      </w:r>
    </w:p>
    <w:p w14:paraId="2AFB75AA" w14:textId="77777777" w:rsidR="003D0F36" w:rsidRPr="00083576" w:rsidRDefault="003D0F36" w:rsidP="009870A1">
      <w:pPr>
        <w:tabs>
          <w:tab w:val="center" w:pos="7200"/>
        </w:tabs>
        <w:spacing w:after="0"/>
        <w:rPr>
          <w:rFonts w:cs="Arial"/>
          <w:sz w:val="22"/>
          <w:szCs w:val="22"/>
        </w:rPr>
      </w:pPr>
      <w:r w:rsidRPr="00083576">
        <w:rPr>
          <w:rFonts w:cs="Arial"/>
          <w:sz w:val="22"/>
          <w:szCs w:val="22"/>
        </w:rPr>
        <w:tab/>
        <w:t>Saint Paul, Minnesota 55155</w:t>
      </w:r>
    </w:p>
    <w:p w14:paraId="0BDDB355" w14:textId="77777777" w:rsidR="003D0F36" w:rsidRDefault="003D0F36" w:rsidP="009870A1">
      <w:pPr>
        <w:tabs>
          <w:tab w:val="center" w:pos="7200"/>
        </w:tabs>
        <w:spacing w:after="0"/>
        <w:rPr>
          <w:rFonts w:cs="Arial"/>
          <w:sz w:val="22"/>
          <w:szCs w:val="22"/>
        </w:rPr>
      </w:pPr>
      <w:r w:rsidRPr="00083576">
        <w:rPr>
          <w:rFonts w:cs="Arial"/>
          <w:sz w:val="22"/>
          <w:szCs w:val="22"/>
        </w:rPr>
        <w:tab/>
      </w:r>
      <w:hyperlink r:id="rId8" w:history="1">
        <w:r w:rsidR="00DB5523" w:rsidRPr="003C6652">
          <w:rPr>
            <w:rStyle w:val="Hyperlink"/>
            <w:rFonts w:cs="Arial"/>
            <w:sz w:val="22"/>
            <w:szCs w:val="22"/>
          </w:rPr>
          <w:t>www.mncourts.gov/lsac</w:t>
        </w:r>
      </w:hyperlink>
      <w:r w:rsidR="00DB5523">
        <w:rPr>
          <w:rFonts w:cs="Arial"/>
          <w:sz w:val="22"/>
          <w:szCs w:val="22"/>
        </w:rPr>
        <w:t xml:space="preserve"> </w:t>
      </w:r>
    </w:p>
    <w:p w14:paraId="247E2F5C" w14:textId="77777777" w:rsidR="00920F62" w:rsidRDefault="003D0F36" w:rsidP="00920F62">
      <w:pPr>
        <w:tabs>
          <w:tab w:val="center" w:pos="7200"/>
        </w:tabs>
        <w:spacing w:after="0"/>
        <w:rPr>
          <w:rFonts w:cs="Arial"/>
          <w:sz w:val="22"/>
          <w:szCs w:val="22"/>
        </w:rPr>
      </w:pPr>
      <w:r>
        <w:rPr>
          <w:rFonts w:cs="Arial"/>
          <w:sz w:val="22"/>
          <w:szCs w:val="22"/>
        </w:rPr>
        <w:tab/>
      </w:r>
      <w:r w:rsidR="00DB5523">
        <w:rPr>
          <w:rFonts w:cs="Arial"/>
          <w:sz w:val="22"/>
          <w:szCs w:val="22"/>
        </w:rPr>
        <w:t>651-284-4379</w:t>
      </w:r>
    </w:p>
    <w:p w14:paraId="451E63A8" w14:textId="77777777" w:rsidR="00920F62" w:rsidRDefault="00920F62" w:rsidP="00920F62">
      <w:pPr>
        <w:tabs>
          <w:tab w:val="center" w:pos="7200"/>
        </w:tabs>
        <w:spacing w:after="0"/>
        <w:rPr>
          <w:rFonts w:cs="Arial"/>
          <w:sz w:val="22"/>
          <w:szCs w:val="22"/>
        </w:rPr>
      </w:pPr>
    </w:p>
    <w:p w14:paraId="39E1EDB0" w14:textId="77777777" w:rsidR="00920F62" w:rsidRDefault="00920F62" w:rsidP="00920F62">
      <w:pPr>
        <w:tabs>
          <w:tab w:val="center" w:pos="7200"/>
        </w:tabs>
        <w:spacing w:after="0"/>
        <w:rPr>
          <w:rFonts w:cs="Arial"/>
          <w:sz w:val="22"/>
          <w:szCs w:val="22"/>
        </w:rPr>
      </w:pPr>
    </w:p>
    <w:p w14:paraId="0D59D090" w14:textId="17EB9E23" w:rsidR="00B67C7A" w:rsidRPr="00920F62" w:rsidRDefault="00B67C7A" w:rsidP="00920F62">
      <w:pPr>
        <w:tabs>
          <w:tab w:val="center" w:pos="7200"/>
        </w:tabs>
        <w:spacing w:after="0"/>
        <w:jc w:val="center"/>
        <w:rPr>
          <w:b/>
          <w:sz w:val="28"/>
          <w:szCs w:val="28"/>
        </w:rPr>
      </w:pPr>
      <w:r w:rsidRPr="00920F62">
        <w:rPr>
          <w:b/>
          <w:sz w:val="28"/>
          <w:szCs w:val="28"/>
        </w:rPr>
        <w:t>MEMORANDUM</w:t>
      </w:r>
    </w:p>
    <w:p w14:paraId="2B68419F" w14:textId="77777777" w:rsidR="00920F62" w:rsidRPr="00920F62" w:rsidRDefault="00920F62" w:rsidP="00920F62">
      <w:pPr>
        <w:tabs>
          <w:tab w:val="center" w:pos="7200"/>
        </w:tabs>
        <w:spacing w:after="0"/>
        <w:jc w:val="center"/>
        <w:rPr>
          <w:rFonts w:cs="Arial"/>
          <w:sz w:val="22"/>
          <w:szCs w:val="22"/>
        </w:rPr>
      </w:pPr>
    </w:p>
    <w:p w14:paraId="49A2E6C6" w14:textId="3FBE3899" w:rsidR="00B67C7A" w:rsidRPr="00DD09D5" w:rsidRDefault="00B67C7A" w:rsidP="00B67C7A">
      <w:pPr>
        <w:tabs>
          <w:tab w:val="left" w:pos="-612"/>
          <w:tab w:val="left" w:pos="108"/>
          <w:tab w:val="left" w:pos="828"/>
          <w:tab w:val="left" w:pos="1260"/>
          <w:tab w:val="left" w:pos="1548"/>
          <w:tab w:val="left" w:pos="234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TO:</w:t>
      </w:r>
      <w:r w:rsidR="00330C1F">
        <w:tab/>
      </w:r>
      <w:r w:rsidR="00330C1F">
        <w:tab/>
      </w:r>
      <w:r w:rsidR="00330C1F">
        <w:tab/>
        <w:t>Potential</w:t>
      </w:r>
      <w:r w:rsidRPr="00DD09D5">
        <w:t xml:space="preserve"> </w:t>
      </w:r>
      <w:r w:rsidR="00F862CF">
        <w:t xml:space="preserve">85% </w:t>
      </w:r>
      <w:r w:rsidRPr="00DD09D5">
        <w:t>Grant Applicants</w:t>
      </w:r>
    </w:p>
    <w:p w14:paraId="097C1831" w14:textId="77777777" w:rsidR="00B67C7A" w:rsidRPr="00DD09D5" w:rsidRDefault="00B67C7A" w:rsidP="00B67C7A">
      <w:pPr>
        <w:tabs>
          <w:tab w:val="left" w:pos="-612"/>
          <w:tab w:val="left" w:pos="108"/>
          <w:tab w:val="left" w:pos="828"/>
          <w:tab w:val="left" w:pos="1260"/>
          <w:tab w:val="left" w:pos="1548"/>
          <w:tab w:val="left" w:pos="234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FROM:</w:t>
      </w:r>
      <w:r w:rsidRPr="00DD09D5">
        <w:tab/>
      </w:r>
      <w:r w:rsidRPr="00DD09D5">
        <w:tab/>
      </w:r>
      <w:r>
        <w:tab/>
        <w:t>Bridget Gernander</w:t>
      </w:r>
      <w:r w:rsidRPr="00DD09D5">
        <w:t>, Executive Director</w:t>
      </w:r>
    </w:p>
    <w:p w14:paraId="78B8D69B" w14:textId="6C8A3AB4" w:rsidR="00B67C7A" w:rsidRPr="00DD09D5" w:rsidRDefault="00B67C7A" w:rsidP="00B67C7A">
      <w:pPr>
        <w:tabs>
          <w:tab w:val="left" w:pos="-612"/>
          <w:tab w:val="left" w:pos="108"/>
          <w:tab w:val="left" w:pos="828"/>
          <w:tab w:val="left" w:pos="1260"/>
          <w:tab w:val="left" w:pos="156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RE:</w:t>
      </w:r>
      <w:r w:rsidRPr="00DD09D5">
        <w:tab/>
      </w:r>
      <w:r w:rsidRPr="00DD09D5">
        <w:tab/>
      </w:r>
      <w:r w:rsidRPr="00DD09D5">
        <w:tab/>
        <w:t>FY</w:t>
      </w:r>
      <w:r w:rsidR="002926A3">
        <w:t>23</w:t>
      </w:r>
      <w:r w:rsidRPr="00DD09D5">
        <w:t xml:space="preserve"> </w:t>
      </w:r>
      <w:r w:rsidR="00F862CF">
        <w:t>Application for Anoka County 85% Funding</w:t>
      </w:r>
      <w:r w:rsidRPr="00DD09D5">
        <w:tab/>
      </w:r>
    </w:p>
    <w:p w14:paraId="660DEB19" w14:textId="09F7431A" w:rsidR="00B67C7A" w:rsidRDefault="00B67C7A" w:rsidP="00FA1B6F">
      <w:pPr>
        <w:tabs>
          <w:tab w:val="left" w:pos="1560"/>
        </w:tabs>
        <w:spacing w:after="360"/>
      </w:pPr>
      <w:r w:rsidRPr="00DD09D5">
        <w:rPr>
          <w:b/>
        </w:rPr>
        <w:t>DATE:</w:t>
      </w:r>
      <w:r w:rsidRPr="00DD09D5">
        <w:tab/>
      </w:r>
      <w:r w:rsidR="00C51FB9">
        <w:t>December 20, 2021</w:t>
      </w:r>
    </w:p>
    <w:p w14:paraId="15C9A65B" w14:textId="7E7C873E" w:rsidR="00641031" w:rsidRPr="00F862CF" w:rsidRDefault="00BF73AA" w:rsidP="00F862CF">
      <w:pPr>
        <w:ind w:right="120"/>
      </w:pPr>
      <w:r>
        <w:t xml:space="preserve">The Legal Services Advisory Committee (LSAC) intends to award </w:t>
      </w:r>
      <w:r w:rsidR="00DE7050">
        <w:t xml:space="preserve">one </w:t>
      </w:r>
      <w:r>
        <w:t xml:space="preserve">grant for </w:t>
      </w:r>
      <w:r w:rsidR="00F862CF">
        <w:t>a</w:t>
      </w:r>
      <w:r>
        <w:t xml:space="preserve"> </w:t>
      </w:r>
      <w:r w:rsidR="00F862CF">
        <w:t>one</w:t>
      </w:r>
      <w:r w:rsidR="00D008D5">
        <w:t>-</w:t>
      </w:r>
      <w:r w:rsidR="0063229E">
        <w:t xml:space="preserve">year </w:t>
      </w:r>
      <w:r w:rsidR="002926A3">
        <w:t>period from July 1, 202</w:t>
      </w:r>
      <w:r w:rsidR="00F862CF">
        <w:t>2</w:t>
      </w:r>
      <w:r w:rsidR="002926A3">
        <w:t xml:space="preserve"> to June 30, 2023</w:t>
      </w:r>
      <w:r>
        <w:t xml:space="preserve"> </w:t>
      </w:r>
      <w:r w:rsidR="002926A3">
        <w:t>(FY23</w:t>
      </w:r>
      <w:r>
        <w:t>).</w:t>
      </w:r>
      <w:r w:rsidR="00FA1B6F">
        <w:t xml:space="preserve"> </w:t>
      </w:r>
      <w:r w:rsidR="00F862CF">
        <w:t xml:space="preserve">There is $593,347 in available state legislative funding for Anoka County from the 85% poverty population funding formula described in </w:t>
      </w:r>
      <w:r w:rsidR="00641031">
        <w:t xml:space="preserve">Minn. Stat. </w:t>
      </w:r>
      <w:r w:rsidR="00227BD3">
        <w:t xml:space="preserve">§ </w:t>
      </w:r>
      <w:r w:rsidR="00641031">
        <w:t>480.242(a).  Only programs meeting th</w:t>
      </w:r>
      <w:r w:rsidR="00C51FB9">
        <w:t>e</w:t>
      </w:r>
      <w:r w:rsidR="00641031">
        <w:t xml:space="preserve"> statutory criteria </w:t>
      </w:r>
      <w:r w:rsidR="001B2D2A">
        <w:t>can</w:t>
      </w:r>
      <w:r w:rsidR="00641031">
        <w:t xml:space="preserve"> submit a proposal under this section.  LSAC will choose from among the </w:t>
      </w:r>
      <w:r w:rsidR="001B2D2A">
        <w:t xml:space="preserve">applications </w:t>
      </w:r>
      <w:r w:rsidR="00C51FB9">
        <w:t xml:space="preserve">submitted by </w:t>
      </w:r>
      <w:r w:rsidR="001B2D2A">
        <w:t>eligible programs</w:t>
      </w:r>
      <w:r w:rsidR="00641031">
        <w:t>.</w:t>
      </w:r>
      <w:r w:rsidR="00641031">
        <w:rPr>
          <w:i/>
        </w:rPr>
        <w:t xml:space="preserve"> </w:t>
      </w:r>
    </w:p>
    <w:p w14:paraId="436B8DC6" w14:textId="77777777" w:rsidR="00186A67" w:rsidRPr="0023668F" w:rsidRDefault="00186A67" w:rsidP="0023668F">
      <w:pPr>
        <w:pStyle w:val="Heading1"/>
      </w:pPr>
      <w:r w:rsidRPr="0023668F">
        <w:t>How Will LSAC Score the Proposals?</w:t>
      </w:r>
    </w:p>
    <w:p w14:paraId="102ABC60" w14:textId="77777777" w:rsidR="00D008D5" w:rsidRDefault="002843C7" w:rsidP="00B433F4">
      <w:pPr>
        <w:spacing w:after="240"/>
      </w:pPr>
      <w:r>
        <w:t>Minnesota Judicial Branch Policy requires that all grant review be conducted</w:t>
      </w:r>
      <w:r w:rsidR="00901F96">
        <w:t xml:space="preserve"> using set review</w:t>
      </w:r>
      <w:r>
        <w:t xml:space="preserve"> criteria.</w:t>
      </w:r>
      <w:r w:rsidR="00FA1B6F">
        <w:t xml:space="preserve"> </w:t>
      </w:r>
      <w:r>
        <w:t>In this grant cycle, each proposal</w:t>
      </w:r>
      <w:r w:rsidR="009059F0">
        <w:t xml:space="preserve"> for grant funding will be</w:t>
      </w:r>
      <w:r w:rsidR="00393F68">
        <w:t xml:space="preserve"> evaluated and awarded up to</w:t>
      </w:r>
      <w:r w:rsidR="009059F0">
        <w:t xml:space="preserve"> </w:t>
      </w:r>
      <w:r w:rsidR="00474CE8">
        <w:t>30</w:t>
      </w:r>
      <w:r w:rsidR="00022B2B">
        <w:t xml:space="preserve"> </w:t>
      </w:r>
      <w:r w:rsidR="009059F0">
        <w:t xml:space="preserve">points </w:t>
      </w:r>
      <w:r>
        <w:t>(up to 15 organizational capacity</w:t>
      </w:r>
      <w:r w:rsidR="003857CD">
        <w:t xml:space="preserve"> points</w:t>
      </w:r>
      <w:r w:rsidR="00FA1B6F">
        <w:t xml:space="preserve"> </w:t>
      </w:r>
      <w:r>
        <w:t xml:space="preserve">+ up to 15 </w:t>
      </w:r>
      <w:r w:rsidR="003857CD">
        <w:t xml:space="preserve">points </w:t>
      </w:r>
      <w:r w:rsidR="00D008D5">
        <w:t>for each proposal</w:t>
      </w:r>
      <w:r>
        <w:t xml:space="preserve"> type) </w:t>
      </w:r>
      <w:r w:rsidR="009059F0">
        <w:t>based on the following criteria:</w:t>
      </w:r>
    </w:p>
    <w:p w14:paraId="52896160" w14:textId="77777777" w:rsidR="0023668F" w:rsidRPr="00B433F4" w:rsidRDefault="0023668F" w:rsidP="0023668F">
      <w:pPr>
        <w:pStyle w:val="Heading2"/>
      </w:pPr>
      <w:r>
        <w:t>A. Organizational Capacity Evaluation</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bottom w:w="48" w:type="dxa"/>
        </w:tblCellMar>
        <w:tblLook w:val="04A0" w:firstRow="1" w:lastRow="0" w:firstColumn="1" w:lastColumn="0" w:noHBand="0" w:noVBand="1"/>
      </w:tblPr>
      <w:tblGrid>
        <w:gridCol w:w="2273"/>
        <w:gridCol w:w="6127"/>
        <w:gridCol w:w="1073"/>
      </w:tblGrid>
      <w:tr w:rsidR="00B433F4" w14:paraId="5B24E060" w14:textId="77777777" w:rsidTr="00E106CB">
        <w:trPr>
          <w:cantSplit/>
          <w:tblHeader/>
        </w:trPr>
        <w:tc>
          <w:tcPr>
            <w:tcW w:w="2273" w:type="dxa"/>
            <w:shd w:val="clear" w:color="auto" w:fill="auto"/>
          </w:tcPr>
          <w:p w14:paraId="7B698A0C" w14:textId="77777777" w:rsidR="00ED6BF9" w:rsidRPr="00E106CB" w:rsidRDefault="00ED6BF9" w:rsidP="00B433F4">
            <w:pPr>
              <w:pStyle w:val="BodyTextFirstIndent"/>
              <w:spacing w:after="0"/>
              <w:ind w:firstLine="0"/>
              <w:jc w:val="left"/>
              <w:rPr>
                <w:b/>
                <w:sz w:val="22"/>
                <w:szCs w:val="22"/>
              </w:rPr>
            </w:pPr>
            <w:r w:rsidRPr="00E106CB">
              <w:rPr>
                <w:b/>
                <w:sz w:val="22"/>
                <w:szCs w:val="22"/>
              </w:rPr>
              <w:t>Scoring Category</w:t>
            </w:r>
          </w:p>
        </w:tc>
        <w:tc>
          <w:tcPr>
            <w:tcW w:w="6127" w:type="dxa"/>
            <w:shd w:val="clear" w:color="auto" w:fill="auto"/>
          </w:tcPr>
          <w:p w14:paraId="1AE1D6F6" w14:textId="77722BFD" w:rsidR="00ED6BF9" w:rsidRPr="00E106CB" w:rsidRDefault="00ED6BF9" w:rsidP="00B433F4">
            <w:pPr>
              <w:pStyle w:val="BodyTextFirstIndent"/>
              <w:spacing w:after="0"/>
              <w:ind w:firstLine="0"/>
              <w:jc w:val="left"/>
              <w:rPr>
                <w:b/>
                <w:sz w:val="22"/>
                <w:szCs w:val="22"/>
              </w:rPr>
            </w:pPr>
            <w:r w:rsidRPr="00E106CB">
              <w:rPr>
                <w:b/>
                <w:sz w:val="22"/>
                <w:szCs w:val="22"/>
              </w:rPr>
              <w:t>Description</w:t>
            </w:r>
            <w:r w:rsidR="00AC3FA2">
              <w:rPr>
                <w:b/>
                <w:sz w:val="22"/>
                <w:szCs w:val="22"/>
              </w:rPr>
              <w:t xml:space="preserve"> </w:t>
            </w:r>
            <w:r w:rsidR="007B2574" w:rsidRPr="000F34BD">
              <w:rPr>
                <w:i/>
                <w:sz w:val="22"/>
                <w:szCs w:val="22"/>
              </w:rPr>
              <w:t>(</w:t>
            </w:r>
            <w:r w:rsidR="007B2574">
              <w:rPr>
                <w:i/>
                <w:sz w:val="22"/>
                <w:szCs w:val="22"/>
              </w:rPr>
              <w:t>with correlating</w:t>
            </w:r>
            <w:r w:rsidR="007B2574" w:rsidRPr="000F34BD">
              <w:rPr>
                <w:i/>
                <w:sz w:val="22"/>
                <w:szCs w:val="22"/>
              </w:rPr>
              <w:t xml:space="preserve"> application</w:t>
            </w:r>
            <w:r w:rsidR="007B2574">
              <w:rPr>
                <w:i/>
                <w:sz w:val="22"/>
                <w:szCs w:val="22"/>
              </w:rPr>
              <w:t xml:space="preserve"> questions</w:t>
            </w:r>
            <w:r w:rsidR="007B2574" w:rsidRPr="000F34BD">
              <w:rPr>
                <w:i/>
                <w:sz w:val="22"/>
                <w:szCs w:val="22"/>
              </w:rPr>
              <w:t>)</w:t>
            </w:r>
          </w:p>
        </w:tc>
        <w:tc>
          <w:tcPr>
            <w:tcW w:w="1073" w:type="dxa"/>
            <w:shd w:val="clear" w:color="auto" w:fill="auto"/>
          </w:tcPr>
          <w:p w14:paraId="650064B8" w14:textId="77777777" w:rsidR="00ED6BF9" w:rsidRPr="00E106CB" w:rsidRDefault="00ED6BF9" w:rsidP="00B433F4">
            <w:pPr>
              <w:pStyle w:val="BodyTextFirstIndent"/>
              <w:spacing w:after="0"/>
              <w:ind w:firstLine="0"/>
              <w:jc w:val="center"/>
              <w:rPr>
                <w:b/>
                <w:sz w:val="22"/>
                <w:szCs w:val="22"/>
              </w:rPr>
            </w:pPr>
            <w:r w:rsidRPr="00E106CB">
              <w:rPr>
                <w:b/>
                <w:sz w:val="22"/>
                <w:szCs w:val="22"/>
              </w:rPr>
              <w:t>Points</w:t>
            </w:r>
          </w:p>
        </w:tc>
      </w:tr>
      <w:tr w:rsidR="006B1E53" w14:paraId="3F453B58" w14:textId="77777777" w:rsidTr="00E106CB">
        <w:trPr>
          <w:cantSplit/>
        </w:trPr>
        <w:tc>
          <w:tcPr>
            <w:tcW w:w="2273" w:type="dxa"/>
            <w:shd w:val="clear" w:color="auto" w:fill="auto"/>
          </w:tcPr>
          <w:p w14:paraId="2444A2FE" w14:textId="505A02C4" w:rsidR="006B1E53" w:rsidRPr="00E106CB" w:rsidRDefault="006B1E53" w:rsidP="006B1E53">
            <w:pPr>
              <w:pStyle w:val="BodyTextFirstIndent"/>
              <w:spacing w:after="0"/>
              <w:ind w:firstLine="0"/>
              <w:jc w:val="left"/>
              <w:rPr>
                <w:sz w:val="22"/>
                <w:szCs w:val="22"/>
              </w:rPr>
            </w:pPr>
            <w:r>
              <w:rPr>
                <w:sz w:val="22"/>
                <w:szCs w:val="22"/>
              </w:rPr>
              <w:t>Board Strength</w:t>
            </w:r>
          </w:p>
        </w:tc>
        <w:tc>
          <w:tcPr>
            <w:tcW w:w="6127" w:type="dxa"/>
            <w:shd w:val="clear" w:color="auto" w:fill="auto"/>
          </w:tcPr>
          <w:p w14:paraId="70B029D3" w14:textId="77777777" w:rsidR="006B1E53" w:rsidRDefault="006B1E53" w:rsidP="006B1E53">
            <w:pPr>
              <w:pStyle w:val="BodyTextFirstIndent"/>
              <w:spacing w:after="0"/>
              <w:ind w:firstLine="0"/>
              <w:jc w:val="left"/>
              <w:rPr>
                <w:sz w:val="22"/>
                <w:szCs w:val="22"/>
              </w:rPr>
            </w:pPr>
            <w:r w:rsidRPr="00E106CB">
              <w:rPr>
                <w:sz w:val="22"/>
                <w:szCs w:val="22"/>
              </w:rPr>
              <w:t>A high scoring orga</w:t>
            </w:r>
            <w:r>
              <w:rPr>
                <w:sz w:val="22"/>
                <w:szCs w:val="22"/>
              </w:rPr>
              <w:t>nization will demonstrate:</w:t>
            </w:r>
          </w:p>
          <w:p w14:paraId="3D7FF7ED" w14:textId="0B201195" w:rsidR="006B1E53" w:rsidRDefault="00241A98" w:rsidP="00B76462">
            <w:pPr>
              <w:pStyle w:val="BodyTextFirstIndent"/>
              <w:numPr>
                <w:ilvl w:val="0"/>
                <w:numId w:val="12"/>
              </w:numPr>
              <w:spacing w:after="0"/>
              <w:ind w:left="139" w:hanging="139"/>
              <w:jc w:val="left"/>
              <w:rPr>
                <w:sz w:val="22"/>
                <w:szCs w:val="22"/>
              </w:rPr>
            </w:pPr>
            <w:r>
              <w:rPr>
                <w:sz w:val="22"/>
                <w:szCs w:val="22"/>
              </w:rPr>
              <w:t xml:space="preserve">diversity of </w:t>
            </w:r>
            <w:r w:rsidR="00AC3FA2">
              <w:rPr>
                <w:sz w:val="22"/>
                <w:szCs w:val="22"/>
              </w:rPr>
              <w:t xml:space="preserve">Board </w:t>
            </w:r>
            <w:r>
              <w:rPr>
                <w:sz w:val="22"/>
                <w:szCs w:val="22"/>
              </w:rPr>
              <w:t>membership</w:t>
            </w:r>
            <w:r w:rsidR="007B2574">
              <w:rPr>
                <w:sz w:val="22"/>
                <w:szCs w:val="22"/>
              </w:rPr>
              <w:t xml:space="preserve"> </w:t>
            </w:r>
            <w:r w:rsidR="007B2574" w:rsidRPr="007B2574">
              <w:rPr>
                <w:i/>
                <w:sz w:val="22"/>
                <w:szCs w:val="22"/>
              </w:rPr>
              <w:t>(A3)</w:t>
            </w:r>
          </w:p>
          <w:p w14:paraId="4585C0E8" w14:textId="77777777" w:rsidR="00241A98" w:rsidRPr="007B2574" w:rsidRDefault="00AC3FA2" w:rsidP="00B76462">
            <w:pPr>
              <w:pStyle w:val="BodyTextFirstIndent"/>
              <w:numPr>
                <w:ilvl w:val="0"/>
                <w:numId w:val="12"/>
              </w:numPr>
              <w:spacing w:after="0"/>
              <w:ind w:left="139" w:hanging="139"/>
              <w:jc w:val="left"/>
              <w:rPr>
                <w:sz w:val="22"/>
                <w:szCs w:val="22"/>
              </w:rPr>
            </w:pPr>
            <w:r>
              <w:rPr>
                <w:sz w:val="22"/>
                <w:szCs w:val="22"/>
              </w:rPr>
              <w:t>clear training on good governance principles</w:t>
            </w:r>
            <w:r w:rsidR="00F27AB8">
              <w:rPr>
                <w:sz w:val="22"/>
                <w:szCs w:val="22"/>
              </w:rPr>
              <w:t xml:space="preserve">, such as what is described on the </w:t>
            </w:r>
            <w:hyperlink r:id="rId9" w:history="1">
              <w:r w:rsidR="00F27AB8" w:rsidRPr="00F27AB8">
                <w:rPr>
                  <w:rStyle w:val="Hyperlink"/>
                  <w:sz w:val="22"/>
                  <w:szCs w:val="22"/>
                </w:rPr>
                <w:t>Minnesota Council of Nonprofits website</w:t>
              </w:r>
            </w:hyperlink>
            <w:r w:rsidR="007B2574">
              <w:rPr>
                <w:rStyle w:val="Hyperlink"/>
                <w:sz w:val="22"/>
                <w:szCs w:val="22"/>
              </w:rPr>
              <w:t xml:space="preserve"> </w:t>
            </w:r>
            <w:r w:rsidR="007B2574" w:rsidRPr="007B2574">
              <w:rPr>
                <w:i/>
                <w:sz w:val="22"/>
                <w:szCs w:val="22"/>
              </w:rPr>
              <w:t>(A4)</w:t>
            </w:r>
          </w:p>
          <w:p w14:paraId="782DAC6F" w14:textId="13CDD508" w:rsidR="007B2574" w:rsidRPr="007B2574" w:rsidRDefault="007B2574" w:rsidP="007B2574">
            <w:pPr>
              <w:pStyle w:val="BodyTextFirstIndent"/>
              <w:numPr>
                <w:ilvl w:val="0"/>
                <w:numId w:val="12"/>
              </w:numPr>
              <w:spacing w:after="0"/>
              <w:ind w:left="139" w:hanging="139"/>
              <w:jc w:val="left"/>
              <w:rPr>
                <w:sz w:val="22"/>
                <w:szCs w:val="22"/>
              </w:rPr>
            </w:pPr>
            <w:r>
              <w:rPr>
                <w:sz w:val="22"/>
                <w:szCs w:val="22"/>
              </w:rPr>
              <w:t xml:space="preserve">active and engaged Board of Directors </w:t>
            </w:r>
            <w:r w:rsidRPr="007B2574">
              <w:rPr>
                <w:i/>
                <w:sz w:val="22"/>
                <w:szCs w:val="22"/>
              </w:rPr>
              <w:t>(A5)</w:t>
            </w:r>
          </w:p>
        </w:tc>
        <w:tc>
          <w:tcPr>
            <w:tcW w:w="1073" w:type="dxa"/>
            <w:shd w:val="clear" w:color="auto" w:fill="auto"/>
          </w:tcPr>
          <w:p w14:paraId="0B3D0714" w14:textId="314184C1" w:rsidR="006B1E53" w:rsidRPr="00E106CB" w:rsidRDefault="006B1E53" w:rsidP="006B1E53">
            <w:pPr>
              <w:pStyle w:val="BodyTextFirstIndent"/>
              <w:spacing w:after="0"/>
              <w:ind w:firstLine="0"/>
              <w:jc w:val="center"/>
              <w:rPr>
                <w:sz w:val="22"/>
                <w:szCs w:val="22"/>
              </w:rPr>
            </w:pPr>
            <w:r w:rsidRPr="00E106CB">
              <w:rPr>
                <w:sz w:val="22"/>
                <w:szCs w:val="22"/>
              </w:rPr>
              <w:t>Up to 5</w:t>
            </w:r>
          </w:p>
        </w:tc>
      </w:tr>
      <w:tr w:rsidR="006B1E53" w14:paraId="1BFFE3BB" w14:textId="77777777" w:rsidTr="00E106CB">
        <w:trPr>
          <w:cantSplit/>
        </w:trPr>
        <w:tc>
          <w:tcPr>
            <w:tcW w:w="2273" w:type="dxa"/>
            <w:shd w:val="clear" w:color="auto" w:fill="auto"/>
          </w:tcPr>
          <w:p w14:paraId="30C0B48B" w14:textId="15754A96" w:rsidR="006B1E53" w:rsidRPr="00E106CB" w:rsidRDefault="006B1E53" w:rsidP="006B1E53">
            <w:pPr>
              <w:pStyle w:val="BodyTextFirstIndent"/>
              <w:spacing w:after="0"/>
              <w:ind w:firstLine="0"/>
              <w:jc w:val="left"/>
              <w:rPr>
                <w:sz w:val="22"/>
                <w:szCs w:val="22"/>
              </w:rPr>
            </w:pPr>
            <w:r w:rsidRPr="00E106CB">
              <w:rPr>
                <w:sz w:val="22"/>
                <w:szCs w:val="22"/>
              </w:rPr>
              <w:t>Evaluation and Planning</w:t>
            </w:r>
          </w:p>
        </w:tc>
        <w:tc>
          <w:tcPr>
            <w:tcW w:w="6127" w:type="dxa"/>
            <w:shd w:val="clear" w:color="auto" w:fill="auto"/>
          </w:tcPr>
          <w:p w14:paraId="2803FE02" w14:textId="77777777" w:rsidR="006B1E53" w:rsidRDefault="006B1E53" w:rsidP="006B1E53">
            <w:pPr>
              <w:pStyle w:val="BodyTextFirstIndent"/>
              <w:spacing w:after="0"/>
              <w:ind w:firstLine="0"/>
              <w:jc w:val="left"/>
              <w:rPr>
                <w:sz w:val="22"/>
                <w:szCs w:val="22"/>
              </w:rPr>
            </w:pPr>
            <w:r w:rsidRPr="00E106CB">
              <w:rPr>
                <w:sz w:val="22"/>
                <w:szCs w:val="22"/>
              </w:rPr>
              <w:t>A high scoring organization will demonstrate</w:t>
            </w:r>
            <w:r>
              <w:rPr>
                <w:sz w:val="22"/>
                <w:szCs w:val="22"/>
              </w:rPr>
              <w:t>:</w:t>
            </w:r>
          </w:p>
          <w:p w14:paraId="4EEDD2F3" w14:textId="129F2588" w:rsidR="00F27AB8" w:rsidRPr="00DF612D" w:rsidRDefault="006B1E53" w:rsidP="00F27AB8">
            <w:pPr>
              <w:pStyle w:val="BodyTextFirstIndent"/>
              <w:spacing w:after="0"/>
              <w:ind w:firstLine="0"/>
              <w:jc w:val="left"/>
              <w:rPr>
                <w:i/>
                <w:sz w:val="22"/>
                <w:szCs w:val="22"/>
              </w:rPr>
            </w:pPr>
            <w:r>
              <w:rPr>
                <w:sz w:val="22"/>
                <w:szCs w:val="22"/>
              </w:rPr>
              <w:t>-</w:t>
            </w:r>
            <w:r w:rsidR="00F27AB8">
              <w:rPr>
                <w:sz w:val="22"/>
                <w:szCs w:val="22"/>
              </w:rPr>
              <w:t xml:space="preserve"> evaluation </w:t>
            </w:r>
            <w:r w:rsidRPr="00E106CB">
              <w:rPr>
                <w:sz w:val="22"/>
                <w:szCs w:val="22"/>
              </w:rPr>
              <w:t xml:space="preserve">processes in </w:t>
            </w:r>
            <w:r w:rsidR="00F27AB8">
              <w:rPr>
                <w:sz w:val="22"/>
                <w:szCs w:val="22"/>
              </w:rPr>
              <w:t xml:space="preserve">place to improve organizational programming, such as what is described on the </w:t>
            </w:r>
            <w:hyperlink r:id="rId10" w:history="1">
              <w:r w:rsidR="00DF612D">
                <w:rPr>
                  <w:rStyle w:val="Hyperlink"/>
                  <w:sz w:val="22"/>
                  <w:szCs w:val="22"/>
                </w:rPr>
                <w:t>National Council of Nonprofits</w:t>
              </w:r>
              <w:r w:rsidR="00F27AB8" w:rsidRPr="00F27AB8">
                <w:rPr>
                  <w:rStyle w:val="Hyperlink"/>
                  <w:sz w:val="22"/>
                  <w:szCs w:val="22"/>
                </w:rPr>
                <w:t xml:space="preserve"> website</w:t>
              </w:r>
            </w:hyperlink>
            <w:r w:rsidR="007B2574">
              <w:rPr>
                <w:rStyle w:val="Hyperlink"/>
                <w:sz w:val="22"/>
                <w:szCs w:val="22"/>
              </w:rPr>
              <w:t xml:space="preserve"> </w:t>
            </w:r>
            <w:r w:rsidR="007B2574" w:rsidRPr="007B2574">
              <w:rPr>
                <w:i/>
                <w:sz w:val="22"/>
                <w:szCs w:val="22"/>
              </w:rPr>
              <w:t>(A</w:t>
            </w:r>
            <w:r w:rsidR="007B2574">
              <w:rPr>
                <w:i/>
                <w:sz w:val="22"/>
                <w:szCs w:val="22"/>
              </w:rPr>
              <w:t>6</w:t>
            </w:r>
            <w:r w:rsidR="007B2574" w:rsidRPr="007B2574">
              <w:rPr>
                <w:i/>
                <w:sz w:val="22"/>
                <w:szCs w:val="22"/>
              </w:rPr>
              <w:t>)</w:t>
            </w:r>
          </w:p>
          <w:p w14:paraId="153AA5AA" w14:textId="714ED8B2" w:rsidR="00F27AB8" w:rsidRDefault="00F27AB8" w:rsidP="00F27AB8">
            <w:pPr>
              <w:pStyle w:val="BodyTextFirstIndent"/>
              <w:spacing w:after="0"/>
              <w:ind w:firstLine="0"/>
              <w:jc w:val="left"/>
              <w:rPr>
                <w:sz w:val="22"/>
                <w:szCs w:val="22"/>
              </w:rPr>
            </w:pPr>
            <w:r>
              <w:rPr>
                <w:sz w:val="22"/>
                <w:szCs w:val="22"/>
              </w:rPr>
              <w:t>- strong strategic planning</w:t>
            </w:r>
            <w:r w:rsidR="00DF612D">
              <w:rPr>
                <w:sz w:val="22"/>
                <w:szCs w:val="22"/>
              </w:rPr>
              <w:t xml:space="preserve"> process where the organization has both a </w:t>
            </w:r>
            <w:proofErr w:type="gramStart"/>
            <w:r w:rsidR="00DF612D">
              <w:rPr>
                <w:sz w:val="22"/>
                <w:szCs w:val="22"/>
              </w:rPr>
              <w:t>long term</w:t>
            </w:r>
            <w:proofErr w:type="gramEnd"/>
            <w:r w:rsidR="00DF612D">
              <w:rPr>
                <w:sz w:val="22"/>
                <w:szCs w:val="22"/>
              </w:rPr>
              <w:t xml:space="preserve"> plan and short term objectives for accountability</w:t>
            </w:r>
            <w:r w:rsidR="007B2574">
              <w:rPr>
                <w:sz w:val="22"/>
                <w:szCs w:val="22"/>
              </w:rPr>
              <w:t xml:space="preserve"> </w:t>
            </w:r>
            <w:r w:rsidR="007B2574" w:rsidRPr="007B2574">
              <w:rPr>
                <w:i/>
                <w:sz w:val="22"/>
                <w:szCs w:val="22"/>
              </w:rPr>
              <w:t>(A7)</w:t>
            </w:r>
          </w:p>
          <w:p w14:paraId="6BDB0106" w14:textId="046E48F5" w:rsidR="00216E1D" w:rsidRPr="00E106CB" w:rsidRDefault="00DF612D" w:rsidP="006B1E53">
            <w:pPr>
              <w:pStyle w:val="BodyTextFirstIndent"/>
              <w:spacing w:after="0"/>
              <w:ind w:firstLine="0"/>
              <w:jc w:val="left"/>
              <w:rPr>
                <w:sz w:val="22"/>
                <w:szCs w:val="22"/>
              </w:rPr>
            </w:pPr>
            <w:r>
              <w:rPr>
                <w:sz w:val="22"/>
                <w:szCs w:val="22"/>
              </w:rPr>
              <w:t>- clear succession planning in place for Executive Director position</w:t>
            </w:r>
            <w:r w:rsidR="007B2574">
              <w:rPr>
                <w:sz w:val="22"/>
                <w:szCs w:val="22"/>
              </w:rPr>
              <w:t xml:space="preserve"> </w:t>
            </w:r>
            <w:r w:rsidR="007B2574" w:rsidRPr="007B2574">
              <w:rPr>
                <w:i/>
                <w:sz w:val="22"/>
                <w:szCs w:val="22"/>
              </w:rPr>
              <w:t>(A</w:t>
            </w:r>
            <w:r w:rsidR="007B2574">
              <w:rPr>
                <w:i/>
                <w:sz w:val="22"/>
                <w:szCs w:val="22"/>
              </w:rPr>
              <w:t>8</w:t>
            </w:r>
            <w:r w:rsidR="007B2574" w:rsidRPr="007B2574">
              <w:rPr>
                <w:i/>
                <w:sz w:val="22"/>
                <w:szCs w:val="22"/>
              </w:rPr>
              <w:t>)</w:t>
            </w:r>
          </w:p>
        </w:tc>
        <w:tc>
          <w:tcPr>
            <w:tcW w:w="1073" w:type="dxa"/>
            <w:shd w:val="clear" w:color="auto" w:fill="auto"/>
          </w:tcPr>
          <w:p w14:paraId="4BC33CCA" w14:textId="77777777" w:rsidR="006B1E53" w:rsidRPr="00E106CB" w:rsidRDefault="006B1E53" w:rsidP="006B1E53">
            <w:pPr>
              <w:pStyle w:val="BodyTextFirstIndent"/>
              <w:spacing w:after="0"/>
              <w:ind w:firstLine="0"/>
              <w:jc w:val="center"/>
              <w:rPr>
                <w:sz w:val="22"/>
                <w:szCs w:val="22"/>
              </w:rPr>
            </w:pPr>
            <w:r w:rsidRPr="00E106CB">
              <w:rPr>
                <w:sz w:val="22"/>
                <w:szCs w:val="22"/>
              </w:rPr>
              <w:t>Up to 5</w:t>
            </w:r>
          </w:p>
        </w:tc>
      </w:tr>
      <w:tr w:rsidR="006B1E53" w14:paraId="21FD077E" w14:textId="77777777" w:rsidTr="00E106CB">
        <w:trPr>
          <w:cantSplit/>
        </w:trPr>
        <w:tc>
          <w:tcPr>
            <w:tcW w:w="2273" w:type="dxa"/>
            <w:shd w:val="clear" w:color="auto" w:fill="auto"/>
          </w:tcPr>
          <w:p w14:paraId="4BD27221" w14:textId="05F22FC5" w:rsidR="006B1E53" w:rsidRPr="00E106CB" w:rsidRDefault="006B1E53" w:rsidP="006B1E53">
            <w:pPr>
              <w:pStyle w:val="BodyTextFirstIndent"/>
              <w:spacing w:after="0"/>
              <w:ind w:firstLine="0"/>
              <w:jc w:val="left"/>
              <w:rPr>
                <w:sz w:val="22"/>
                <w:szCs w:val="22"/>
              </w:rPr>
            </w:pPr>
            <w:r w:rsidRPr="00E106CB">
              <w:rPr>
                <w:sz w:val="22"/>
                <w:szCs w:val="22"/>
              </w:rPr>
              <w:lastRenderedPageBreak/>
              <w:t>Financial Strength</w:t>
            </w:r>
          </w:p>
        </w:tc>
        <w:tc>
          <w:tcPr>
            <w:tcW w:w="6127" w:type="dxa"/>
            <w:shd w:val="clear" w:color="auto" w:fill="auto"/>
          </w:tcPr>
          <w:p w14:paraId="241A0B8F" w14:textId="77777777" w:rsidR="006B1E53" w:rsidRDefault="006B1E53" w:rsidP="006B1E53">
            <w:pPr>
              <w:pStyle w:val="BodyTextFirstIndent"/>
              <w:spacing w:after="0"/>
              <w:ind w:firstLine="0"/>
              <w:jc w:val="left"/>
              <w:rPr>
                <w:sz w:val="22"/>
                <w:szCs w:val="22"/>
              </w:rPr>
            </w:pPr>
            <w:r w:rsidRPr="00E106CB">
              <w:rPr>
                <w:sz w:val="22"/>
                <w:szCs w:val="22"/>
              </w:rPr>
              <w:t>A high scoring organization</w:t>
            </w:r>
            <w:r>
              <w:rPr>
                <w:sz w:val="22"/>
                <w:szCs w:val="22"/>
              </w:rPr>
              <w:t xml:space="preserve"> will demonstrate:</w:t>
            </w:r>
          </w:p>
          <w:p w14:paraId="763208B9" w14:textId="4004F870" w:rsidR="00DF612D" w:rsidRDefault="00DF612D" w:rsidP="006B1E53">
            <w:pPr>
              <w:pStyle w:val="BodyTextFirstIndent"/>
              <w:spacing w:after="0"/>
              <w:ind w:firstLine="0"/>
              <w:jc w:val="left"/>
              <w:rPr>
                <w:sz w:val="22"/>
                <w:szCs w:val="22"/>
              </w:rPr>
            </w:pPr>
            <w:r>
              <w:rPr>
                <w:i/>
                <w:sz w:val="22"/>
                <w:szCs w:val="22"/>
              </w:rPr>
              <w:t xml:space="preserve">- </w:t>
            </w:r>
            <w:r w:rsidRPr="00DF612D">
              <w:rPr>
                <w:sz w:val="22"/>
                <w:szCs w:val="22"/>
              </w:rPr>
              <w:t>ability to anticipate challenges and demonstrated capacity to adapt</w:t>
            </w:r>
            <w:r w:rsidR="00990ACF">
              <w:rPr>
                <w:sz w:val="22"/>
                <w:szCs w:val="22"/>
              </w:rPr>
              <w:t xml:space="preserve"> </w:t>
            </w:r>
            <w:r w:rsidR="00990ACF" w:rsidRPr="007B2574">
              <w:rPr>
                <w:i/>
                <w:sz w:val="22"/>
                <w:szCs w:val="22"/>
              </w:rPr>
              <w:t>(A</w:t>
            </w:r>
            <w:r w:rsidR="00990ACF">
              <w:rPr>
                <w:i/>
                <w:sz w:val="22"/>
                <w:szCs w:val="22"/>
              </w:rPr>
              <w:t>9</w:t>
            </w:r>
            <w:r w:rsidR="00990ACF" w:rsidRPr="007B2574">
              <w:rPr>
                <w:i/>
                <w:sz w:val="22"/>
                <w:szCs w:val="22"/>
              </w:rPr>
              <w:t>)</w:t>
            </w:r>
          </w:p>
          <w:p w14:paraId="6371415D" w14:textId="5C8FDEF2" w:rsidR="00617E37" w:rsidRPr="00DA073F" w:rsidRDefault="006B1E53" w:rsidP="00DA073F">
            <w:pPr>
              <w:pStyle w:val="BodyTextFirstIndent"/>
              <w:spacing w:after="0"/>
              <w:ind w:firstLine="0"/>
              <w:jc w:val="left"/>
              <w:rPr>
                <w:sz w:val="22"/>
                <w:szCs w:val="22"/>
              </w:rPr>
            </w:pPr>
            <w:r>
              <w:rPr>
                <w:sz w:val="22"/>
                <w:szCs w:val="22"/>
              </w:rPr>
              <w:t>-</w:t>
            </w:r>
            <w:r w:rsidRPr="00E106CB">
              <w:rPr>
                <w:sz w:val="22"/>
                <w:szCs w:val="22"/>
              </w:rPr>
              <w:t xml:space="preserve"> a realistic and clear budget that is </w:t>
            </w:r>
            <w:r>
              <w:rPr>
                <w:sz w:val="22"/>
                <w:szCs w:val="22"/>
              </w:rPr>
              <w:t>part of an overall program plan</w:t>
            </w:r>
            <w:r w:rsidR="00990ACF">
              <w:rPr>
                <w:sz w:val="22"/>
                <w:szCs w:val="22"/>
              </w:rPr>
              <w:t xml:space="preserve"> </w:t>
            </w:r>
            <w:r w:rsidR="00990ACF" w:rsidRPr="007B2574">
              <w:rPr>
                <w:i/>
                <w:sz w:val="22"/>
                <w:szCs w:val="22"/>
              </w:rPr>
              <w:t>(A</w:t>
            </w:r>
            <w:r w:rsidR="00990ACF">
              <w:rPr>
                <w:i/>
                <w:sz w:val="22"/>
                <w:szCs w:val="22"/>
              </w:rPr>
              <w:t>10</w:t>
            </w:r>
            <w:r w:rsidR="00990ACF" w:rsidRPr="007B2574">
              <w:rPr>
                <w:i/>
                <w:sz w:val="22"/>
                <w:szCs w:val="22"/>
              </w:rPr>
              <w:t>)</w:t>
            </w:r>
          </w:p>
        </w:tc>
        <w:tc>
          <w:tcPr>
            <w:tcW w:w="1073" w:type="dxa"/>
            <w:shd w:val="clear" w:color="auto" w:fill="auto"/>
          </w:tcPr>
          <w:p w14:paraId="0AE583C6" w14:textId="77777777" w:rsidR="006B1E53" w:rsidRPr="00E106CB" w:rsidRDefault="006B1E53" w:rsidP="006B1E53">
            <w:pPr>
              <w:pStyle w:val="BodyTextFirstIndent"/>
              <w:spacing w:after="0"/>
              <w:ind w:firstLine="0"/>
              <w:jc w:val="center"/>
              <w:rPr>
                <w:sz w:val="22"/>
                <w:szCs w:val="22"/>
              </w:rPr>
            </w:pPr>
            <w:r w:rsidRPr="00E106CB">
              <w:rPr>
                <w:sz w:val="22"/>
                <w:szCs w:val="22"/>
              </w:rPr>
              <w:t>Up to 5</w:t>
            </w:r>
          </w:p>
        </w:tc>
      </w:tr>
      <w:tr w:rsidR="006B1E53" w14:paraId="5DAB1B9A" w14:textId="77777777" w:rsidTr="00E106CB">
        <w:trPr>
          <w:cantSplit/>
        </w:trPr>
        <w:tc>
          <w:tcPr>
            <w:tcW w:w="9473" w:type="dxa"/>
            <w:gridSpan w:val="3"/>
            <w:shd w:val="clear" w:color="auto" w:fill="auto"/>
          </w:tcPr>
          <w:p w14:paraId="031527F9" w14:textId="4452B6B3" w:rsidR="006B1E53" w:rsidRPr="00E106CB" w:rsidRDefault="006B1E53" w:rsidP="006B1E53">
            <w:pPr>
              <w:pStyle w:val="BodyTextFirstIndent"/>
              <w:spacing w:before="40" w:after="20"/>
              <w:ind w:right="120" w:firstLine="0"/>
              <w:jc w:val="right"/>
              <w:rPr>
                <w:sz w:val="22"/>
                <w:szCs w:val="22"/>
              </w:rPr>
            </w:pPr>
            <w:r w:rsidRPr="00E106CB">
              <w:rPr>
                <w:sz w:val="22"/>
                <w:szCs w:val="22"/>
              </w:rPr>
              <w:t>Total Possible Points = 15</w:t>
            </w:r>
          </w:p>
        </w:tc>
      </w:tr>
    </w:tbl>
    <w:p w14:paraId="67008091" w14:textId="68B89351" w:rsidR="00DA073F" w:rsidRDefault="00DA073F">
      <w:pPr>
        <w:spacing w:after="0"/>
        <w:rPr>
          <w:b/>
          <w:i/>
          <w:szCs w:val="20"/>
        </w:rPr>
      </w:pPr>
    </w:p>
    <w:p w14:paraId="05D95CCE" w14:textId="573907B0" w:rsidR="00DA073F" w:rsidRDefault="00F862CF" w:rsidP="00DA073F">
      <w:pPr>
        <w:pStyle w:val="Heading2"/>
        <w:spacing w:before="0"/>
      </w:pPr>
      <w:r>
        <w:t>B</w:t>
      </w:r>
      <w:r w:rsidR="00DA073F">
        <w:t>. 85% Legislative Funding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9"/>
        <w:gridCol w:w="6141"/>
        <w:gridCol w:w="955"/>
      </w:tblGrid>
      <w:tr w:rsidR="00641031" w:rsidRPr="00E106CB" w14:paraId="12B0566F" w14:textId="77777777" w:rsidTr="00F031AA">
        <w:trPr>
          <w:cantSplit/>
          <w:tblHeader/>
        </w:trPr>
        <w:tc>
          <w:tcPr>
            <w:tcW w:w="2259" w:type="dxa"/>
            <w:shd w:val="clear" w:color="auto" w:fill="auto"/>
          </w:tcPr>
          <w:p w14:paraId="5FC403E0" w14:textId="77777777" w:rsidR="00641031" w:rsidRPr="00E106CB" w:rsidRDefault="00641031" w:rsidP="00F031AA">
            <w:pPr>
              <w:pStyle w:val="BodyTextFirstIndent"/>
              <w:keepNext/>
              <w:spacing w:after="0"/>
              <w:ind w:firstLine="0"/>
              <w:jc w:val="left"/>
              <w:rPr>
                <w:b/>
                <w:sz w:val="22"/>
                <w:szCs w:val="22"/>
              </w:rPr>
            </w:pPr>
            <w:r w:rsidRPr="00E106CB">
              <w:rPr>
                <w:b/>
                <w:sz w:val="22"/>
                <w:szCs w:val="22"/>
              </w:rPr>
              <w:t>Scoring Category</w:t>
            </w:r>
          </w:p>
        </w:tc>
        <w:tc>
          <w:tcPr>
            <w:tcW w:w="6141" w:type="dxa"/>
            <w:shd w:val="clear" w:color="auto" w:fill="auto"/>
          </w:tcPr>
          <w:p w14:paraId="7DD58702" w14:textId="77777777" w:rsidR="00641031" w:rsidRPr="00E106CB" w:rsidRDefault="00641031" w:rsidP="00F031AA">
            <w:pPr>
              <w:pStyle w:val="BodyTextFirstIndent"/>
              <w:keepNext/>
              <w:spacing w:after="0"/>
              <w:ind w:firstLine="0"/>
              <w:jc w:val="left"/>
              <w:rPr>
                <w:b/>
                <w:sz w:val="22"/>
                <w:szCs w:val="22"/>
              </w:rPr>
            </w:pPr>
            <w:r w:rsidRPr="00E106CB">
              <w:rPr>
                <w:b/>
                <w:sz w:val="22"/>
                <w:szCs w:val="22"/>
              </w:rPr>
              <w:t>Description</w:t>
            </w:r>
            <w:r>
              <w:rPr>
                <w:b/>
                <w:sz w:val="22"/>
                <w:szCs w:val="22"/>
              </w:rPr>
              <w:t xml:space="preserve"> </w:t>
            </w:r>
            <w:r w:rsidRPr="000F34BD">
              <w:rPr>
                <w:i/>
                <w:sz w:val="22"/>
                <w:szCs w:val="22"/>
              </w:rPr>
              <w:t>(</w:t>
            </w:r>
            <w:r>
              <w:rPr>
                <w:i/>
                <w:sz w:val="22"/>
                <w:szCs w:val="22"/>
              </w:rPr>
              <w:t>with correlating</w:t>
            </w:r>
            <w:r w:rsidRPr="000F34BD">
              <w:rPr>
                <w:i/>
                <w:sz w:val="22"/>
                <w:szCs w:val="22"/>
              </w:rPr>
              <w:t xml:space="preserve"> application</w:t>
            </w:r>
            <w:r>
              <w:rPr>
                <w:i/>
                <w:sz w:val="22"/>
                <w:szCs w:val="22"/>
              </w:rPr>
              <w:t xml:space="preserve"> questions</w:t>
            </w:r>
            <w:r w:rsidRPr="000F34BD">
              <w:rPr>
                <w:i/>
                <w:sz w:val="22"/>
                <w:szCs w:val="22"/>
              </w:rPr>
              <w:t>)</w:t>
            </w:r>
          </w:p>
        </w:tc>
        <w:tc>
          <w:tcPr>
            <w:tcW w:w="955" w:type="dxa"/>
            <w:shd w:val="clear" w:color="auto" w:fill="auto"/>
          </w:tcPr>
          <w:p w14:paraId="03A95862" w14:textId="77777777" w:rsidR="00641031" w:rsidRPr="00E106CB" w:rsidRDefault="00641031" w:rsidP="00F031AA">
            <w:pPr>
              <w:pStyle w:val="BodyTextFirstIndent"/>
              <w:keepNext/>
              <w:spacing w:after="0"/>
              <w:ind w:firstLine="0"/>
              <w:jc w:val="center"/>
              <w:rPr>
                <w:b/>
                <w:sz w:val="22"/>
                <w:szCs w:val="22"/>
              </w:rPr>
            </w:pPr>
            <w:r w:rsidRPr="00E106CB">
              <w:rPr>
                <w:b/>
                <w:sz w:val="22"/>
                <w:szCs w:val="22"/>
              </w:rPr>
              <w:t>Points</w:t>
            </w:r>
          </w:p>
        </w:tc>
      </w:tr>
      <w:tr w:rsidR="00641031" w:rsidRPr="00E106CB" w14:paraId="2056C253" w14:textId="77777777" w:rsidTr="00F031AA">
        <w:trPr>
          <w:cantSplit/>
        </w:trPr>
        <w:tc>
          <w:tcPr>
            <w:tcW w:w="2259" w:type="dxa"/>
            <w:shd w:val="clear" w:color="auto" w:fill="auto"/>
          </w:tcPr>
          <w:p w14:paraId="11F0A7F5" w14:textId="77777777" w:rsidR="00641031" w:rsidRPr="00E106CB" w:rsidRDefault="00641031" w:rsidP="00F031AA">
            <w:pPr>
              <w:pStyle w:val="BodyTextFirstIndent"/>
              <w:spacing w:after="0"/>
              <w:ind w:firstLine="0"/>
              <w:jc w:val="left"/>
              <w:rPr>
                <w:sz w:val="22"/>
                <w:szCs w:val="22"/>
              </w:rPr>
            </w:pPr>
            <w:r w:rsidRPr="00E106CB">
              <w:rPr>
                <w:sz w:val="22"/>
                <w:szCs w:val="22"/>
              </w:rPr>
              <w:t>Community Impact</w:t>
            </w:r>
          </w:p>
        </w:tc>
        <w:tc>
          <w:tcPr>
            <w:tcW w:w="6141" w:type="dxa"/>
            <w:shd w:val="clear" w:color="auto" w:fill="auto"/>
          </w:tcPr>
          <w:p w14:paraId="58682E5B" w14:textId="77777777" w:rsidR="00641031" w:rsidRDefault="00641031" w:rsidP="00F031AA">
            <w:pPr>
              <w:pStyle w:val="BodyTextFirstIndent"/>
              <w:spacing w:after="0"/>
              <w:ind w:firstLine="0"/>
              <w:jc w:val="left"/>
              <w:rPr>
                <w:sz w:val="22"/>
                <w:szCs w:val="22"/>
              </w:rPr>
            </w:pPr>
            <w:r w:rsidRPr="00E106CB">
              <w:rPr>
                <w:sz w:val="22"/>
                <w:szCs w:val="22"/>
              </w:rPr>
              <w:t>A high scoring proposal will</w:t>
            </w:r>
            <w:r>
              <w:rPr>
                <w:sz w:val="22"/>
                <w:szCs w:val="22"/>
              </w:rPr>
              <w:t>:</w:t>
            </w:r>
          </w:p>
          <w:p w14:paraId="3E7FD427" w14:textId="1F47801E" w:rsidR="00641031" w:rsidRPr="00C72BEE" w:rsidRDefault="00641031" w:rsidP="0021228E">
            <w:pPr>
              <w:pStyle w:val="BodyTextFirstIndent"/>
              <w:spacing w:after="0"/>
              <w:ind w:firstLine="0"/>
              <w:jc w:val="left"/>
              <w:rPr>
                <w:i/>
                <w:sz w:val="22"/>
                <w:szCs w:val="22"/>
              </w:rPr>
            </w:pPr>
            <w:r>
              <w:rPr>
                <w:sz w:val="22"/>
                <w:szCs w:val="22"/>
              </w:rPr>
              <w:t>-</w:t>
            </w:r>
            <w:r w:rsidRPr="00E106CB">
              <w:rPr>
                <w:sz w:val="22"/>
                <w:szCs w:val="22"/>
              </w:rPr>
              <w:t xml:space="preserve"> </w:t>
            </w:r>
            <w:r w:rsidR="0021228E">
              <w:rPr>
                <w:sz w:val="22"/>
                <w:szCs w:val="22"/>
              </w:rPr>
              <w:t>demonstrate the work of the Organization to effectively serve clients through comprehensive needs assessment</w:t>
            </w:r>
            <w:r w:rsidR="00C72BEE">
              <w:rPr>
                <w:sz w:val="22"/>
                <w:szCs w:val="22"/>
              </w:rPr>
              <w:t xml:space="preserve"> </w:t>
            </w:r>
            <w:r w:rsidR="00C72BEE" w:rsidRPr="00C72BEE">
              <w:rPr>
                <w:i/>
                <w:sz w:val="22"/>
                <w:szCs w:val="22"/>
              </w:rPr>
              <w:t>(</w:t>
            </w:r>
            <w:r w:rsidR="00227BD3">
              <w:rPr>
                <w:i/>
                <w:sz w:val="22"/>
                <w:szCs w:val="22"/>
              </w:rPr>
              <w:t>B</w:t>
            </w:r>
            <w:r w:rsidR="00C72BEE" w:rsidRPr="00C72BEE">
              <w:rPr>
                <w:i/>
                <w:sz w:val="22"/>
                <w:szCs w:val="22"/>
              </w:rPr>
              <w:t>4)</w:t>
            </w:r>
          </w:p>
          <w:p w14:paraId="2FC7366C" w14:textId="56DCD95F" w:rsidR="0021228E" w:rsidRPr="00E106CB" w:rsidRDefault="0021228E" w:rsidP="0021228E">
            <w:pPr>
              <w:pStyle w:val="BodyTextFirstIndent"/>
              <w:spacing w:after="0"/>
              <w:ind w:firstLine="0"/>
              <w:jc w:val="left"/>
              <w:rPr>
                <w:sz w:val="22"/>
                <w:szCs w:val="22"/>
              </w:rPr>
            </w:pPr>
            <w:r>
              <w:rPr>
                <w:sz w:val="22"/>
                <w:szCs w:val="22"/>
              </w:rPr>
              <w:t>- demonstrate the work of the Organization to effectively use resources to meet their mission through strategic planning</w:t>
            </w:r>
            <w:r w:rsidR="00C72BEE">
              <w:rPr>
                <w:sz w:val="22"/>
                <w:szCs w:val="22"/>
              </w:rPr>
              <w:t xml:space="preserve"> </w:t>
            </w:r>
            <w:r w:rsidR="00C72BEE" w:rsidRPr="00C72BEE">
              <w:rPr>
                <w:i/>
                <w:sz w:val="22"/>
                <w:szCs w:val="22"/>
              </w:rPr>
              <w:t>(</w:t>
            </w:r>
            <w:r w:rsidR="00227BD3">
              <w:rPr>
                <w:i/>
                <w:sz w:val="22"/>
                <w:szCs w:val="22"/>
              </w:rPr>
              <w:t>B</w:t>
            </w:r>
            <w:r w:rsidR="00C72BEE" w:rsidRPr="00C72BEE">
              <w:rPr>
                <w:i/>
                <w:sz w:val="22"/>
                <w:szCs w:val="22"/>
              </w:rPr>
              <w:t>5)</w:t>
            </w:r>
          </w:p>
        </w:tc>
        <w:tc>
          <w:tcPr>
            <w:tcW w:w="955" w:type="dxa"/>
            <w:shd w:val="clear" w:color="auto" w:fill="auto"/>
          </w:tcPr>
          <w:p w14:paraId="087F8D27" w14:textId="77777777" w:rsidR="00641031" w:rsidRPr="00E106CB" w:rsidRDefault="00641031" w:rsidP="00F031AA">
            <w:pPr>
              <w:pStyle w:val="BodyTextFirstIndent"/>
              <w:spacing w:after="0"/>
              <w:ind w:firstLine="0"/>
              <w:jc w:val="center"/>
              <w:rPr>
                <w:sz w:val="22"/>
                <w:szCs w:val="22"/>
              </w:rPr>
            </w:pPr>
            <w:r w:rsidRPr="00E106CB">
              <w:rPr>
                <w:sz w:val="22"/>
                <w:szCs w:val="22"/>
              </w:rPr>
              <w:t>Up to 5</w:t>
            </w:r>
          </w:p>
        </w:tc>
      </w:tr>
      <w:tr w:rsidR="00641031" w:rsidRPr="00E106CB" w14:paraId="4EDD13A9" w14:textId="77777777" w:rsidTr="00F031AA">
        <w:trPr>
          <w:cantSplit/>
        </w:trPr>
        <w:tc>
          <w:tcPr>
            <w:tcW w:w="2259" w:type="dxa"/>
            <w:shd w:val="clear" w:color="auto" w:fill="auto"/>
          </w:tcPr>
          <w:p w14:paraId="3B69A39F" w14:textId="48FABAA7" w:rsidR="00641031" w:rsidRPr="00E106CB" w:rsidRDefault="00641031" w:rsidP="00F031AA">
            <w:pPr>
              <w:pStyle w:val="BodyTextFirstIndent"/>
              <w:spacing w:after="0"/>
              <w:ind w:firstLine="0"/>
              <w:jc w:val="left"/>
              <w:rPr>
                <w:sz w:val="22"/>
                <w:szCs w:val="22"/>
              </w:rPr>
            </w:pPr>
            <w:r w:rsidRPr="00E106CB">
              <w:rPr>
                <w:sz w:val="22"/>
                <w:szCs w:val="22"/>
              </w:rPr>
              <w:t>Delivery System Impact</w:t>
            </w:r>
          </w:p>
        </w:tc>
        <w:tc>
          <w:tcPr>
            <w:tcW w:w="6141" w:type="dxa"/>
            <w:shd w:val="clear" w:color="auto" w:fill="auto"/>
          </w:tcPr>
          <w:p w14:paraId="5EB6F0D0" w14:textId="77777777" w:rsidR="00641031" w:rsidRDefault="00641031" w:rsidP="00F031AA">
            <w:pPr>
              <w:pStyle w:val="BodyTextFirstIndent"/>
              <w:spacing w:after="0"/>
              <w:ind w:firstLine="0"/>
              <w:jc w:val="left"/>
              <w:rPr>
                <w:sz w:val="22"/>
                <w:szCs w:val="22"/>
              </w:rPr>
            </w:pPr>
            <w:r w:rsidRPr="00E106CB">
              <w:rPr>
                <w:sz w:val="22"/>
                <w:szCs w:val="22"/>
              </w:rPr>
              <w:t>A high scoring proposal will</w:t>
            </w:r>
            <w:r>
              <w:rPr>
                <w:sz w:val="22"/>
                <w:szCs w:val="22"/>
              </w:rPr>
              <w:t>:</w:t>
            </w:r>
          </w:p>
          <w:p w14:paraId="2B41448A" w14:textId="2F3E1E8B" w:rsidR="00641031" w:rsidRPr="00E106CB" w:rsidRDefault="00641031" w:rsidP="0021228E">
            <w:pPr>
              <w:pStyle w:val="BodyTextFirstIndent"/>
              <w:spacing w:after="0"/>
              <w:ind w:firstLine="0"/>
              <w:jc w:val="left"/>
              <w:rPr>
                <w:sz w:val="22"/>
                <w:szCs w:val="22"/>
              </w:rPr>
            </w:pPr>
            <w:r>
              <w:rPr>
                <w:sz w:val="22"/>
                <w:szCs w:val="22"/>
              </w:rPr>
              <w:t>-</w:t>
            </w:r>
            <w:r w:rsidRPr="00E106CB">
              <w:rPr>
                <w:sz w:val="22"/>
                <w:szCs w:val="22"/>
              </w:rPr>
              <w:t xml:space="preserve"> </w:t>
            </w:r>
            <w:r w:rsidR="0021228E">
              <w:rPr>
                <w:sz w:val="22"/>
                <w:szCs w:val="22"/>
              </w:rPr>
              <w:t xml:space="preserve">ensure coverage of basic civil legal services </w:t>
            </w:r>
            <w:r w:rsidR="00227BD3">
              <w:rPr>
                <w:sz w:val="22"/>
                <w:szCs w:val="22"/>
              </w:rPr>
              <w:t>in Anoka County through effective use</w:t>
            </w:r>
            <w:r w:rsidR="0021228E">
              <w:rPr>
                <w:sz w:val="22"/>
                <w:szCs w:val="22"/>
              </w:rPr>
              <w:t xml:space="preserve"> the statutory formula</w:t>
            </w:r>
            <w:r w:rsidR="00227BD3">
              <w:rPr>
                <w:sz w:val="22"/>
                <w:szCs w:val="22"/>
              </w:rPr>
              <w:t xml:space="preserve"> funding</w:t>
            </w:r>
            <w:r w:rsidR="0021228E">
              <w:rPr>
                <w:sz w:val="22"/>
                <w:szCs w:val="22"/>
              </w:rPr>
              <w:t>.</w:t>
            </w:r>
            <w:r w:rsidR="00C72BEE">
              <w:rPr>
                <w:sz w:val="22"/>
                <w:szCs w:val="22"/>
              </w:rPr>
              <w:t xml:space="preserve"> </w:t>
            </w:r>
            <w:r w:rsidR="00C72BEE" w:rsidRPr="00C72BEE">
              <w:rPr>
                <w:i/>
                <w:sz w:val="22"/>
                <w:szCs w:val="22"/>
              </w:rPr>
              <w:t>(</w:t>
            </w:r>
            <w:r w:rsidR="00227BD3">
              <w:rPr>
                <w:i/>
                <w:sz w:val="22"/>
                <w:szCs w:val="22"/>
              </w:rPr>
              <w:t>B</w:t>
            </w:r>
            <w:r w:rsidR="006D0039">
              <w:rPr>
                <w:i/>
                <w:sz w:val="22"/>
                <w:szCs w:val="22"/>
              </w:rPr>
              <w:t>1</w:t>
            </w:r>
            <w:r w:rsidR="00C72BEE" w:rsidRPr="00C72BEE">
              <w:rPr>
                <w:i/>
                <w:sz w:val="22"/>
                <w:szCs w:val="22"/>
              </w:rPr>
              <w:t>)</w:t>
            </w:r>
          </w:p>
        </w:tc>
        <w:tc>
          <w:tcPr>
            <w:tcW w:w="955" w:type="dxa"/>
            <w:shd w:val="clear" w:color="auto" w:fill="auto"/>
          </w:tcPr>
          <w:p w14:paraId="01EF27F8" w14:textId="77777777" w:rsidR="00641031" w:rsidRPr="00E106CB" w:rsidRDefault="00641031" w:rsidP="00F031AA">
            <w:pPr>
              <w:pStyle w:val="BodyTextFirstIndent"/>
              <w:spacing w:after="0"/>
              <w:ind w:firstLine="0"/>
              <w:jc w:val="center"/>
              <w:rPr>
                <w:sz w:val="22"/>
                <w:szCs w:val="22"/>
              </w:rPr>
            </w:pPr>
            <w:r w:rsidRPr="00E106CB">
              <w:rPr>
                <w:sz w:val="22"/>
                <w:szCs w:val="22"/>
              </w:rPr>
              <w:t>Up to 5</w:t>
            </w:r>
          </w:p>
        </w:tc>
      </w:tr>
      <w:tr w:rsidR="00641031" w:rsidRPr="00E106CB" w14:paraId="4B614589" w14:textId="77777777" w:rsidTr="00F031AA">
        <w:trPr>
          <w:cantSplit/>
        </w:trPr>
        <w:tc>
          <w:tcPr>
            <w:tcW w:w="2259" w:type="dxa"/>
            <w:shd w:val="clear" w:color="auto" w:fill="auto"/>
          </w:tcPr>
          <w:p w14:paraId="12480793" w14:textId="77777777" w:rsidR="00641031" w:rsidRPr="00E106CB" w:rsidRDefault="00641031" w:rsidP="00F031AA">
            <w:pPr>
              <w:pStyle w:val="BodyTextFirstIndent"/>
              <w:spacing w:after="0"/>
              <w:ind w:firstLine="0"/>
              <w:jc w:val="left"/>
              <w:rPr>
                <w:sz w:val="22"/>
                <w:szCs w:val="22"/>
              </w:rPr>
            </w:pPr>
            <w:r w:rsidRPr="00E106CB">
              <w:rPr>
                <w:sz w:val="22"/>
                <w:szCs w:val="22"/>
              </w:rPr>
              <w:t>Collaboration</w:t>
            </w:r>
          </w:p>
        </w:tc>
        <w:tc>
          <w:tcPr>
            <w:tcW w:w="6141" w:type="dxa"/>
            <w:shd w:val="clear" w:color="auto" w:fill="auto"/>
          </w:tcPr>
          <w:p w14:paraId="70576053" w14:textId="77777777" w:rsidR="00641031" w:rsidRDefault="00641031" w:rsidP="00F031AA">
            <w:pPr>
              <w:pStyle w:val="BodyTextFirstIndent"/>
              <w:spacing w:after="0"/>
              <w:ind w:firstLine="0"/>
              <w:jc w:val="left"/>
              <w:rPr>
                <w:sz w:val="22"/>
                <w:szCs w:val="22"/>
              </w:rPr>
            </w:pPr>
            <w:r w:rsidRPr="00E106CB">
              <w:rPr>
                <w:sz w:val="22"/>
                <w:szCs w:val="22"/>
              </w:rPr>
              <w:t>A high scoring proposal will</w:t>
            </w:r>
            <w:r>
              <w:rPr>
                <w:sz w:val="22"/>
                <w:szCs w:val="22"/>
              </w:rPr>
              <w:t>:</w:t>
            </w:r>
          </w:p>
          <w:p w14:paraId="77795B9A" w14:textId="6D966B70" w:rsidR="00641031" w:rsidRDefault="00641031" w:rsidP="0021228E">
            <w:pPr>
              <w:pStyle w:val="BodyTextFirstIndent"/>
              <w:spacing w:after="0"/>
              <w:ind w:firstLine="0"/>
              <w:jc w:val="left"/>
              <w:rPr>
                <w:i/>
                <w:sz w:val="22"/>
                <w:szCs w:val="22"/>
              </w:rPr>
            </w:pPr>
            <w:r>
              <w:rPr>
                <w:sz w:val="22"/>
                <w:szCs w:val="22"/>
              </w:rPr>
              <w:t>-</w:t>
            </w:r>
            <w:r w:rsidRPr="00E106CB">
              <w:rPr>
                <w:sz w:val="22"/>
                <w:szCs w:val="22"/>
              </w:rPr>
              <w:t xml:space="preserve"> </w:t>
            </w:r>
            <w:r w:rsidR="0021228E">
              <w:rPr>
                <w:sz w:val="22"/>
                <w:szCs w:val="22"/>
              </w:rPr>
              <w:t xml:space="preserve">demonstrate efforts to prevent duplication in the </w:t>
            </w:r>
            <w:r w:rsidR="00227BD3">
              <w:rPr>
                <w:sz w:val="22"/>
                <w:szCs w:val="22"/>
              </w:rPr>
              <w:t>Anoka County</w:t>
            </w:r>
            <w:r w:rsidR="0021228E">
              <w:rPr>
                <w:sz w:val="22"/>
                <w:szCs w:val="22"/>
              </w:rPr>
              <w:t>.</w:t>
            </w:r>
            <w:r w:rsidR="00C72BEE">
              <w:rPr>
                <w:sz w:val="22"/>
                <w:szCs w:val="22"/>
              </w:rPr>
              <w:t xml:space="preserve"> </w:t>
            </w:r>
            <w:r w:rsidR="00C72BEE" w:rsidRPr="00C72BEE">
              <w:rPr>
                <w:i/>
                <w:sz w:val="22"/>
                <w:szCs w:val="22"/>
              </w:rPr>
              <w:t>(</w:t>
            </w:r>
            <w:r w:rsidR="00227BD3">
              <w:rPr>
                <w:i/>
                <w:sz w:val="22"/>
                <w:szCs w:val="22"/>
              </w:rPr>
              <w:t>B</w:t>
            </w:r>
            <w:r w:rsidR="006D0039">
              <w:rPr>
                <w:i/>
                <w:sz w:val="22"/>
                <w:szCs w:val="22"/>
              </w:rPr>
              <w:t>2</w:t>
            </w:r>
            <w:r w:rsidR="00C72BEE" w:rsidRPr="00C72BEE">
              <w:rPr>
                <w:i/>
                <w:sz w:val="22"/>
                <w:szCs w:val="22"/>
              </w:rPr>
              <w:t>)</w:t>
            </w:r>
          </w:p>
          <w:p w14:paraId="0FE88B04" w14:textId="41B24FE2" w:rsidR="006D0039" w:rsidRPr="006D0039" w:rsidRDefault="006D0039" w:rsidP="0021228E">
            <w:pPr>
              <w:pStyle w:val="BodyTextFirstIndent"/>
              <w:spacing w:after="0"/>
              <w:ind w:firstLine="0"/>
              <w:jc w:val="left"/>
              <w:rPr>
                <w:iCs/>
                <w:sz w:val="22"/>
                <w:szCs w:val="22"/>
              </w:rPr>
            </w:pPr>
            <w:r>
              <w:rPr>
                <w:iCs/>
                <w:sz w:val="22"/>
                <w:szCs w:val="22"/>
              </w:rPr>
              <w:t xml:space="preserve">- demonstrate </w:t>
            </w:r>
            <w:r w:rsidR="00227BD3">
              <w:rPr>
                <w:iCs/>
                <w:sz w:val="22"/>
                <w:szCs w:val="22"/>
              </w:rPr>
              <w:t xml:space="preserve">high quality services, outreach and </w:t>
            </w:r>
            <w:r>
              <w:rPr>
                <w:iCs/>
                <w:sz w:val="22"/>
                <w:szCs w:val="22"/>
              </w:rPr>
              <w:t xml:space="preserve">local relationships </w:t>
            </w:r>
            <w:bookmarkStart w:id="0" w:name="_Hlk87973354"/>
            <w:r>
              <w:rPr>
                <w:iCs/>
                <w:sz w:val="22"/>
                <w:szCs w:val="22"/>
              </w:rPr>
              <w:t xml:space="preserve">with social service providers, courts, law libraries or other partners in </w:t>
            </w:r>
            <w:bookmarkEnd w:id="0"/>
            <w:r w:rsidR="00227BD3">
              <w:rPr>
                <w:iCs/>
                <w:sz w:val="22"/>
                <w:szCs w:val="22"/>
              </w:rPr>
              <w:t>Anoka County</w:t>
            </w:r>
            <w:r>
              <w:rPr>
                <w:iCs/>
                <w:sz w:val="22"/>
                <w:szCs w:val="22"/>
              </w:rPr>
              <w:t xml:space="preserve">. </w:t>
            </w:r>
            <w:r w:rsidRPr="006D0039">
              <w:rPr>
                <w:i/>
                <w:sz w:val="22"/>
                <w:szCs w:val="22"/>
              </w:rPr>
              <w:t>(</w:t>
            </w:r>
            <w:r w:rsidR="00227BD3">
              <w:rPr>
                <w:i/>
                <w:sz w:val="22"/>
                <w:szCs w:val="22"/>
              </w:rPr>
              <w:t>B</w:t>
            </w:r>
            <w:r w:rsidRPr="006D0039">
              <w:rPr>
                <w:i/>
                <w:sz w:val="22"/>
                <w:szCs w:val="22"/>
              </w:rPr>
              <w:t>3)</w:t>
            </w:r>
          </w:p>
        </w:tc>
        <w:tc>
          <w:tcPr>
            <w:tcW w:w="955" w:type="dxa"/>
            <w:shd w:val="clear" w:color="auto" w:fill="auto"/>
          </w:tcPr>
          <w:p w14:paraId="6729D871" w14:textId="77777777" w:rsidR="00641031" w:rsidRPr="00E106CB" w:rsidRDefault="00641031" w:rsidP="00F031AA">
            <w:pPr>
              <w:pStyle w:val="BodyTextFirstIndent"/>
              <w:spacing w:after="0"/>
              <w:ind w:firstLine="0"/>
              <w:jc w:val="center"/>
              <w:rPr>
                <w:sz w:val="22"/>
                <w:szCs w:val="22"/>
              </w:rPr>
            </w:pPr>
            <w:r w:rsidRPr="00E106CB">
              <w:rPr>
                <w:sz w:val="22"/>
                <w:szCs w:val="22"/>
              </w:rPr>
              <w:t>Up to 5</w:t>
            </w:r>
          </w:p>
        </w:tc>
      </w:tr>
      <w:tr w:rsidR="00641031" w:rsidRPr="00E106CB" w14:paraId="6542791C" w14:textId="77777777" w:rsidTr="00F031AA">
        <w:trPr>
          <w:cantSplit/>
        </w:trPr>
        <w:tc>
          <w:tcPr>
            <w:tcW w:w="9355" w:type="dxa"/>
            <w:gridSpan w:val="3"/>
            <w:shd w:val="clear" w:color="auto" w:fill="auto"/>
          </w:tcPr>
          <w:p w14:paraId="6DB5747B" w14:textId="77777777" w:rsidR="00641031" w:rsidRPr="00E106CB" w:rsidRDefault="00641031" w:rsidP="00F031AA">
            <w:pPr>
              <w:pStyle w:val="BodyTextFirstIndent"/>
              <w:spacing w:before="40" w:after="20"/>
              <w:ind w:right="120" w:firstLine="0"/>
              <w:jc w:val="right"/>
              <w:rPr>
                <w:sz w:val="22"/>
                <w:szCs w:val="22"/>
              </w:rPr>
            </w:pPr>
            <w:r w:rsidRPr="00E106CB">
              <w:rPr>
                <w:sz w:val="22"/>
                <w:szCs w:val="22"/>
              </w:rPr>
              <w:t>Total Possible Points = 15</w:t>
            </w:r>
          </w:p>
        </w:tc>
      </w:tr>
    </w:tbl>
    <w:p w14:paraId="02D5D11D" w14:textId="77777777" w:rsidR="00641031" w:rsidRDefault="00641031" w:rsidP="00A30AD2">
      <w:pPr>
        <w:pStyle w:val="BodyTextFirstIndent"/>
        <w:spacing w:after="0"/>
        <w:ind w:right="120" w:firstLine="0"/>
        <w:jc w:val="left"/>
      </w:pPr>
    </w:p>
    <w:p w14:paraId="7CF1E302" w14:textId="77777777" w:rsidR="00186A67" w:rsidRPr="00D61BCF" w:rsidRDefault="00186A67" w:rsidP="0023668F">
      <w:pPr>
        <w:pStyle w:val="Heading1"/>
      </w:pPr>
      <w:bookmarkStart w:id="1" w:name="DocXGoBackHere"/>
      <w:bookmarkEnd w:id="1"/>
      <w:r w:rsidRPr="00D61BCF">
        <w:t xml:space="preserve">What </w:t>
      </w:r>
      <w:r w:rsidR="00D61BCF">
        <w:t>I</w:t>
      </w:r>
      <w:r w:rsidRPr="00D61BCF">
        <w:t>s t</w:t>
      </w:r>
      <w:r w:rsidR="00FA1B6F" w:rsidRPr="00D61BCF">
        <w:t>he Schedule for the LSAC Grants?</w:t>
      </w:r>
    </w:p>
    <w:p w14:paraId="669EBA09" w14:textId="4B93FED7" w:rsidR="00B67C7A" w:rsidRPr="00DD09D5" w:rsidRDefault="00B67C7A" w:rsidP="00FA1B6F">
      <w:r>
        <w:t>LSAC a</w:t>
      </w:r>
      <w:r w:rsidR="00EF04B0">
        <w:t xml:space="preserve">pplications for </w:t>
      </w:r>
      <w:r w:rsidR="00F862CF">
        <w:t xml:space="preserve">this </w:t>
      </w:r>
      <w:r w:rsidR="00B644B6">
        <w:t>FY23</w:t>
      </w:r>
      <w:r w:rsidR="005E3445">
        <w:t xml:space="preserve"> </w:t>
      </w:r>
      <w:r w:rsidR="00EF04B0">
        <w:t xml:space="preserve">funding </w:t>
      </w:r>
      <w:r w:rsidR="00F862CF">
        <w:t xml:space="preserve">distribution </w:t>
      </w:r>
      <w:r w:rsidR="00EF04B0">
        <w:t>must be received</w:t>
      </w:r>
      <w:r>
        <w:t xml:space="preserve"> </w:t>
      </w:r>
      <w:r w:rsidR="00B644B6">
        <w:t>through the o</w:t>
      </w:r>
      <w:r w:rsidR="00122A50">
        <w:t>nline grant management system</w:t>
      </w:r>
      <w:r w:rsidR="00B644B6">
        <w:t xml:space="preserve"> </w:t>
      </w:r>
      <w:r w:rsidRPr="00DD09D5">
        <w:t xml:space="preserve">by </w:t>
      </w:r>
      <w:r w:rsidR="00EF04B0" w:rsidRPr="00EF04B0">
        <w:rPr>
          <w:b/>
        </w:rPr>
        <w:t xml:space="preserve">4:30 p.m. on </w:t>
      </w:r>
      <w:r w:rsidR="00227BD3">
        <w:rPr>
          <w:b/>
        </w:rPr>
        <w:t>February 25</w:t>
      </w:r>
      <w:r w:rsidR="00B644B6">
        <w:rPr>
          <w:b/>
        </w:rPr>
        <w:t>, 202</w:t>
      </w:r>
      <w:r w:rsidR="00F862CF">
        <w:rPr>
          <w:b/>
        </w:rPr>
        <w:t>2</w:t>
      </w:r>
      <w:r w:rsidR="00EF04B0">
        <w:rPr>
          <w:b/>
        </w:rPr>
        <w:t>.</w:t>
      </w:r>
      <w:r w:rsidR="00FA1B6F">
        <w:rPr>
          <w:b/>
        </w:rPr>
        <w:t xml:space="preserve"> </w:t>
      </w:r>
    </w:p>
    <w:p w14:paraId="7D11E1B1" w14:textId="21E473A7" w:rsidR="00B67C7A" w:rsidRDefault="00B67C7A" w:rsidP="0023668F">
      <w:r w:rsidRPr="00DD09D5">
        <w:t xml:space="preserve">Please direct inquiries regarding grant applications to </w:t>
      </w:r>
      <w:r>
        <w:t>Bridget Gernander,</w:t>
      </w:r>
      <w:r w:rsidRPr="00DD09D5">
        <w:t xml:space="preserve"> Legal </w:t>
      </w:r>
      <w:r w:rsidR="00467C42">
        <w:t>Services Grant Manager</w:t>
      </w:r>
      <w:r w:rsidR="00022B2B">
        <w:t>,</w:t>
      </w:r>
      <w:r w:rsidR="00467C42">
        <w:t xml:space="preserve"> at </w:t>
      </w:r>
      <w:r>
        <w:t>bridget.gernander@courts.state.mn.us</w:t>
      </w:r>
      <w:r w:rsidRPr="00DD09D5">
        <w:t xml:space="preserve"> or </w:t>
      </w:r>
      <w:r>
        <w:t>651-284-4379.</w:t>
      </w:r>
      <w:r w:rsidR="00FA1B6F">
        <w:t xml:space="preserve"> </w:t>
      </w:r>
    </w:p>
    <w:p w14:paraId="320C42AE" w14:textId="77777777" w:rsidR="00B67C7A" w:rsidRPr="006A7524" w:rsidRDefault="006A7524" w:rsidP="0023668F">
      <w:pPr>
        <w:pStyle w:val="Heading1"/>
      </w:pPr>
      <w:r>
        <w:t>What Should I Know Before Applying for an LSAC Grant?</w:t>
      </w:r>
    </w:p>
    <w:p w14:paraId="1B66DEF6" w14:textId="77777777" w:rsidR="00B67C7A" w:rsidRDefault="00B67C7A" w:rsidP="00A30AD2">
      <w:pPr>
        <w:tabs>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 w:val="left" w:pos="10440"/>
        </w:tabs>
      </w:pPr>
      <w:r>
        <w:t>L</w:t>
      </w:r>
      <w:r w:rsidR="00873C3F">
        <w:t>SAC</w:t>
      </w:r>
      <w:r>
        <w:t xml:space="preserve"> reserves the right to reject any or all applications received that do not, in its opinion, serve the best interest of the Minnesota Supreme Court or the intent of this funding.</w:t>
      </w:r>
      <w:r w:rsidR="00FA1B6F">
        <w:t xml:space="preserve"> </w:t>
      </w:r>
      <w:r>
        <w:t>The application is made for informational or planning purposes only.</w:t>
      </w:r>
      <w:r w:rsidR="00FA1B6F">
        <w:t xml:space="preserve"> </w:t>
      </w:r>
      <w:r>
        <w:t xml:space="preserve">Neither the Supreme Court nor </w:t>
      </w:r>
      <w:r w:rsidR="00873C3F">
        <w:t>LSAC</w:t>
      </w:r>
      <w:r>
        <w:t xml:space="preserve"> will be liable for any expenses incurred by any prospective grantee prior to the issuance of the grant.</w:t>
      </w:r>
      <w:r w:rsidR="00FA1B6F">
        <w:t xml:space="preserve"> </w:t>
      </w:r>
      <w:r>
        <w:t xml:space="preserve">Upon submission, all applications become the property of the Supreme Court, which has the right to use any or all ideas presented in any application submitted, </w:t>
      </w:r>
      <w:proofErr w:type="gramStart"/>
      <w:r>
        <w:t>whether or not</w:t>
      </w:r>
      <w:proofErr w:type="gramEnd"/>
      <w:r>
        <w:t xml:space="preserve"> the application is accepted.</w:t>
      </w:r>
      <w:r w:rsidR="00FA1B6F">
        <w:t xml:space="preserve"> </w:t>
      </w:r>
      <w:r>
        <w:t>All application materials are public data and may be made available to other interested organizations and individuals.</w:t>
      </w:r>
    </w:p>
    <w:p w14:paraId="54843D5C" w14:textId="77777777" w:rsidR="00B67C7A" w:rsidRDefault="00B67C7A" w:rsidP="00A30AD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The selected grantee must understand and agree to the following conditions that shall be included as part of the final grant</w:t>
      </w:r>
      <w:r w:rsidR="000C7EC9">
        <w:t xml:space="preserve"> award agreement.</w:t>
      </w:r>
      <w:r w:rsidR="00FA1B6F">
        <w:t xml:space="preserve"> </w:t>
      </w:r>
      <w:r w:rsidR="000C7EC9">
        <w:t>A copy of the full grant award agreement is available on request.</w:t>
      </w:r>
    </w:p>
    <w:p w14:paraId="7032E2E3" w14:textId="77777777" w:rsidR="00B67C7A" w:rsidRDefault="0023668F"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3668F">
        <w:rPr>
          <w:u w:val="single"/>
        </w:rPr>
        <w:t>Inspection and Audit</w:t>
      </w:r>
      <w:r>
        <w:t xml:space="preserve">. </w:t>
      </w:r>
      <w:r w:rsidR="00B67C7A">
        <w:t>The office and representatives of the Supreme Court, and the Minnesota Legislative auditor, or any of their duly authorized representatives, shall have access for purposes of audit and examination to any books, documents, papers, and records of the grantee.</w:t>
      </w:r>
    </w:p>
    <w:p w14:paraId="6B3710F4" w14:textId="7C75FB8F" w:rsidR="00B67C7A" w:rsidRDefault="009274C9"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Certification of Non-profit Status</w:t>
      </w:r>
      <w:r w:rsidRPr="009274C9">
        <w:t>.</w:t>
      </w:r>
      <w:r>
        <w:t xml:space="preserve"> </w:t>
      </w:r>
      <w:r w:rsidR="00B67C7A">
        <w:t xml:space="preserve">The grantee must certify that it is a 501(c)(3) non-profit corporation that it is governed by a board of directors composed of attorneys-at-law and consumers of legal services, including at least one client eligible member as defined in the </w:t>
      </w:r>
      <w:r w:rsidR="00B67C7A" w:rsidRPr="009274C9">
        <w:rPr>
          <w:i/>
        </w:rPr>
        <w:t>Statutory Interpretation and Financial Guidelines</w:t>
      </w:r>
      <w:r w:rsidR="00B67C7A">
        <w:t xml:space="preserve"> document</w:t>
      </w:r>
      <w:r w:rsidR="006038E7">
        <w:t xml:space="preserve">, available on the website at </w:t>
      </w:r>
      <w:hyperlink r:id="rId11" w:history="1">
        <w:r w:rsidR="006038E7" w:rsidRPr="00CD7F9D">
          <w:rPr>
            <w:rStyle w:val="Hyperlink"/>
          </w:rPr>
          <w:t>www.mncourts.gov/lsac</w:t>
        </w:r>
      </w:hyperlink>
      <w:r w:rsidR="00B67C7A">
        <w:t>.</w:t>
      </w:r>
    </w:p>
    <w:p w14:paraId="3A924F76" w14:textId="77777777" w:rsidR="00B67C7A" w:rsidRDefault="009274C9"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Supplemental Data Requests</w:t>
      </w:r>
      <w:r w:rsidRPr="009274C9">
        <w:t>.</w:t>
      </w:r>
      <w:r>
        <w:t xml:space="preserve"> </w:t>
      </w:r>
      <w:r w:rsidR="00B67C7A">
        <w:t xml:space="preserve">In accepting a grant from </w:t>
      </w:r>
      <w:r w:rsidR="00873C3F">
        <w:t>LSAC</w:t>
      </w:r>
      <w:r w:rsidR="00B67C7A">
        <w:t>, grantees will be asked to comply with all reasonable requests for supplemental data.</w:t>
      </w:r>
    </w:p>
    <w:p w14:paraId="7C547747" w14:textId="3079BB11" w:rsidR="00836AD5" w:rsidRPr="00F862CF" w:rsidRDefault="00836AD5" w:rsidP="00836AD5">
      <w:pPr>
        <w:pStyle w:val="Heading1"/>
        <w:rPr>
          <w:b w:val="0"/>
        </w:rPr>
      </w:pPr>
      <w:r w:rsidRPr="00F862CF">
        <w:rPr>
          <w:b w:val="0"/>
        </w:rPr>
        <w:t>Definitions</w:t>
      </w:r>
      <w:bookmarkStart w:id="2" w:name="_DV_M14"/>
      <w:bookmarkEnd w:id="2"/>
      <w:r w:rsidR="0021228E" w:rsidRPr="00F862CF">
        <w:rPr>
          <w:b w:val="0"/>
        </w:rPr>
        <w:t xml:space="preserve"> Used Throughout LSAC Application </w:t>
      </w:r>
    </w:p>
    <w:p w14:paraId="5F560338" w14:textId="7DEFB856" w:rsidR="00B644B6" w:rsidRPr="00F862CF" w:rsidRDefault="00B644B6" w:rsidP="00B644B6">
      <w:r w:rsidRPr="00F862CF">
        <w:t>This section describes the terms that have specific meanings in the LSAC application materials.  Please read through before starting the online grant application.</w:t>
      </w:r>
    </w:p>
    <w:p w14:paraId="128FD5F3" w14:textId="254D9978" w:rsidR="00155020" w:rsidRPr="00F862CF" w:rsidRDefault="00155020" w:rsidP="00B2359A">
      <w:pPr>
        <w:pStyle w:val="NormalWeb"/>
        <w:shd w:val="clear" w:color="auto" w:fill="FFFFFF"/>
        <w:spacing w:before="0" w:beforeAutospacing="0" w:after="360" w:afterAutospacing="0"/>
        <w:rPr>
          <w:color w:val="000000"/>
        </w:rPr>
      </w:pPr>
      <w:r w:rsidRPr="00F862CF">
        <w:rPr>
          <w:iCs/>
        </w:rPr>
        <w:t xml:space="preserve">Comprehensive Needs Assessment. </w:t>
      </w:r>
      <w:r w:rsidR="00985944" w:rsidRPr="00F862CF">
        <w:rPr>
          <w:lang w:val="en"/>
        </w:rPr>
        <w:t>A comprehensive needs assessment</w:t>
      </w:r>
      <w:r w:rsidRPr="00F862CF">
        <w:rPr>
          <w:lang w:val="en"/>
        </w:rPr>
        <w:t xml:space="preserve"> is a process where </w:t>
      </w:r>
      <w:r w:rsidR="00AB1208" w:rsidRPr="00F862CF">
        <w:rPr>
          <w:lang w:val="en"/>
        </w:rPr>
        <w:t xml:space="preserve">a </w:t>
      </w:r>
      <w:r w:rsidR="00B2359A" w:rsidRPr="00F862CF">
        <w:rPr>
          <w:lang w:val="en"/>
        </w:rPr>
        <w:t>legal representation program surveys eligible clients</w:t>
      </w:r>
      <w:r w:rsidRPr="00F862CF">
        <w:rPr>
          <w:lang w:val="en"/>
        </w:rPr>
        <w:t>, staff and community about what services shou</w:t>
      </w:r>
      <w:r w:rsidR="00B2359A" w:rsidRPr="00F862CF">
        <w:rPr>
          <w:lang w:val="en"/>
        </w:rPr>
        <w:t>ld be the highest priority.</w:t>
      </w:r>
      <w:r w:rsidRPr="00F862CF">
        <w:rPr>
          <w:lang w:val="en"/>
        </w:rPr>
        <w:t xml:space="preserve"> </w:t>
      </w:r>
      <w:r w:rsidRPr="00F862CF">
        <w:rPr>
          <w:color w:val="000000"/>
        </w:rPr>
        <w:t>A</w:t>
      </w:r>
      <w:r w:rsidR="00B2359A" w:rsidRPr="00F862CF">
        <w:rPr>
          <w:color w:val="000000"/>
        </w:rPr>
        <w:t xml:space="preserve"> </w:t>
      </w:r>
      <w:r w:rsidRPr="00F862CF">
        <w:rPr>
          <w:color w:val="000000"/>
        </w:rPr>
        <w:t>comp</w:t>
      </w:r>
      <w:r w:rsidR="00985944" w:rsidRPr="00F862CF">
        <w:rPr>
          <w:color w:val="000000"/>
        </w:rPr>
        <w:t>rehensive</w:t>
      </w:r>
      <w:r w:rsidRPr="00F862CF">
        <w:rPr>
          <w:color w:val="000000"/>
        </w:rPr>
        <w:t xml:space="preserve"> needs assessment will help determine the allocation </w:t>
      </w:r>
      <w:r w:rsidR="00B2359A" w:rsidRPr="00F862CF">
        <w:rPr>
          <w:color w:val="000000"/>
        </w:rPr>
        <w:t>of scarce resources and staffing, i</w:t>
      </w:r>
      <w:r w:rsidRPr="00F862CF">
        <w:rPr>
          <w:color w:val="000000"/>
        </w:rPr>
        <w:t xml:space="preserve">ncorporate information from a variety of stakeholders, </w:t>
      </w:r>
      <w:r w:rsidR="00B2359A" w:rsidRPr="00F862CF">
        <w:rPr>
          <w:color w:val="000000"/>
        </w:rPr>
        <w:t xml:space="preserve">including applicants and clients, and engage </w:t>
      </w:r>
      <w:r w:rsidRPr="00F862CF">
        <w:rPr>
          <w:color w:val="000000"/>
        </w:rPr>
        <w:t>with the community to get feedback on how efficient, visible, an</w:t>
      </w:r>
      <w:r w:rsidR="00B2359A" w:rsidRPr="00F862CF">
        <w:rPr>
          <w:color w:val="000000"/>
        </w:rPr>
        <w:t>d accessible the organization is, and generate</w:t>
      </w:r>
      <w:r w:rsidRPr="00F862CF">
        <w:rPr>
          <w:color w:val="000000"/>
        </w:rPr>
        <w:t xml:space="preserve"> data and information that the organization can use in its media effort to increase the visibility of legal aid, develop support for legal aid work, and encourage resource development</w:t>
      </w:r>
    </w:p>
    <w:p w14:paraId="4F70E1D8" w14:textId="77777777" w:rsidR="00836AD5" w:rsidRPr="00F862CF" w:rsidRDefault="00836AD5" w:rsidP="00836AD5">
      <w:r w:rsidRPr="00F862CF">
        <w:rPr>
          <w:iCs/>
        </w:rPr>
        <w:t>Legal Representation</w:t>
      </w:r>
      <w:bookmarkStart w:id="3" w:name="_DV_M22"/>
      <w:bookmarkEnd w:id="3"/>
      <w:r w:rsidRPr="00F862CF">
        <w:rPr>
          <w:bCs/>
          <w:iCs/>
        </w:rPr>
        <w:t xml:space="preserve">. </w:t>
      </w:r>
      <w:r w:rsidRPr="00F862CF">
        <w:t>Refers to those services through which lawyers and other legal advocates provide legal representation to clients, in an attorney/client relationship, whether using a staff, volunteer, judicare, or some other model.</w:t>
      </w:r>
    </w:p>
    <w:p w14:paraId="3894E978" w14:textId="77777777" w:rsidR="00836AD5" w:rsidRPr="00F862CF" w:rsidRDefault="00836AD5" w:rsidP="00836AD5">
      <w:r w:rsidRPr="00F862CF">
        <w:t>Organization. Refers to your corporate entity, including all Programs as defined below and other parts of your entity, if any.</w:t>
      </w:r>
    </w:p>
    <w:p w14:paraId="43CD7DCE" w14:textId="77777777" w:rsidR="00836AD5" w:rsidRPr="00F862CF" w:rsidRDefault="00836AD5" w:rsidP="00836AD5">
      <w:bookmarkStart w:id="4" w:name="_DV_C5"/>
      <w:r w:rsidRPr="00F862CF">
        <w:rPr>
          <w:rStyle w:val="DeltaViewInsertion"/>
          <w:b w:val="0"/>
          <w:u w:val="none"/>
        </w:rPr>
        <w:t>Other Eligible Services</w:t>
      </w:r>
      <w:bookmarkEnd w:id="4"/>
      <w:r w:rsidRPr="00F862CF">
        <w:rPr>
          <w:rStyle w:val="DeltaViewInsertion"/>
          <w:b w:val="0"/>
          <w:u w:val="none"/>
        </w:rPr>
        <w:t xml:space="preserve">. </w:t>
      </w:r>
      <w:bookmarkStart w:id="5" w:name="_DV_C6"/>
      <w:r w:rsidRPr="00F862CF">
        <w:rPr>
          <w:rStyle w:val="DeltaViewInsertion"/>
          <w:b w:val="0"/>
          <w:iCs/>
          <w:u w:val="none"/>
        </w:rPr>
        <w:t>Refers to law-related services (other than Legal Representation) eligible for LSAC funding. Examples include community legal education; advocacy on issues affecting eligible clients at the legislature or before other elected bodies, in administrative rulemaking, or the like; support to Programs that provide Legal Representation; mediation and/or other dispute resolution services, administration of justice; and other eligible law-related services not defined as Legal Representation.</w:t>
      </w:r>
      <w:bookmarkStart w:id="6" w:name="_DV_M23"/>
      <w:bookmarkEnd w:id="5"/>
      <w:bookmarkEnd w:id="6"/>
    </w:p>
    <w:p w14:paraId="3D60202D" w14:textId="77777777" w:rsidR="00836AD5" w:rsidRPr="00F862CF" w:rsidRDefault="00836AD5" w:rsidP="00836AD5">
      <w:pPr>
        <w:rPr>
          <w:iCs/>
        </w:rPr>
      </w:pPr>
      <w:r w:rsidRPr="00F862CF">
        <w:t>Private Attorney Involvement (PAI). Refers to legal services provided by private attorneys, rather than staff attorneys, and includes both pro bono and judicare.</w:t>
      </w:r>
    </w:p>
    <w:p w14:paraId="2BBF3E1C" w14:textId="77777777" w:rsidR="00836AD5" w:rsidRPr="00F862CF" w:rsidRDefault="00836AD5" w:rsidP="00836AD5">
      <w:pPr>
        <w:rPr>
          <w:iCs/>
          <w:u w:val="single"/>
        </w:rPr>
      </w:pPr>
      <w:bookmarkStart w:id="7" w:name="_DV_M15"/>
      <w:bookmarkStart w:id="8" w:name="_DV_M16"/>
      <w:bookmarkEnd w:id="7"/>
      <w:bookmarkEnd w:id="8"/>
      <w:r w:rsidRPr="00F862CF">
        <w:lastRenderedPageBreak/>
        <w:t>Program. Refers to that part of your Organization that provides law-related services, including but not limited to, services eligible for LSAC funding.</w:t>
      </w:r>
      <w:bookmarkStart w:id="9" w:name="_DV_C1"/>
      <w:r w:rsidRPr="00F862CF">
        <w:rPr>
          <w:rStyle w:val="DeltaViewInsertion"/>
          <w:b w:val="0"/>
          <w:iCs/>
        </w:rPr>
        <w:t xml:space="preserve"> </w:t>
      </w:r>
      <w:r w:rsidRPr="00F862CF">
        <w:rPr>
          <w:rStyle w:val="DeltaViewInsertion"/>
          <w:b w:val="0"/>
          <w:iCs/>
          <w:u w:val="single"/>
        </w:rPr>
        <w:t xml:space="preserve">Program services may include Legal Representation and/or Other Eligible Services. </w:t>
      </w:r>
      <w:bookmarkEnd w:id="9"/>
    </w:p>
    <w:p w14:paraId="6E1F9692" w14:textId="52716494" w:rsidR="008C5064" w:rsidRPr="00F862CF" w:rsidRDefault="00836AD5" w:rsidP="00F862CF">
      <w:pPr>
        <w:rPr>
          <w:iCs/>
        </w:rPr>
      </w:pPr>
      <w:bookmarkStart w:id="10" w:name="_DV_M17"/>
      <w:bookmarkEnd w:id="10"/>
      <w:r w:rsidRPr="00F862CF">
        <w:t>Proposal</w:t>
      </w:r>
      <w:bookmarkStart w:id="11" w:name="_DV_M18"/>
      <w:bookmarkEnd w:id="11"/>
      <w:r w:rsidRPr="00F862CF">
        <w:rPr>
          <w:rStyle w:val="DeltaViewInsertion"/>
          <w:b w:val="0"/>
          <w:iCs/>
          <w:u w:val="none"/>
        </w:rPr>
        <w:t>.</w:t>
      </w:r>
      <w:r w:rsidR="00227BD3">
        <w:rPr>
          <w:rStyle w:val="DeltaViewInsertion"/>
          <w:b w:val="0"/>
          <w:iCs/>
          <w:u w:val="none"/>
        </w:rPr>
        <w:t xml:space="preserve"> </w:t>
      </w:r>
      <w:r w:rsidRPr="00F862CF">
        <w:t>Refers to LSAC’s Request for Proposals across different areas: general operating grant for staff services, general operating grant for private attorney involvement (PAI) services, and project grants. Organizations can submit Proposals in more than one category.</w:t>
      </w:r>
      <w:bookmarkStart w:id="12" w:name="_DV_M21"/>
      <w:bookmarkEnd w:id="12"/>
    </w:p>
    <w:sectPr w:rsidR="008C5064" w:rsidRPr="00F862CF" w:rsidSect="00B67C7A">
      <w:footerReference w:type="default" r:id="rId12"/>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0AE6B" w14:textId="77777777" w:rsidR="005732E7" w:rsidRDefault="005732E7">
      <w:r>
        <w:separator/>
      </w:r>
    </w:p>
  </w:endnote>
  <w:endnote w:type="continuationSeparator" w:id="0">
    <w:p w14:paraId="2DC2D61C" w14:textId="77777777" w:rsidR="005732E7" w:rsidRDefault="0057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1B7F" w14:textId="77777777" w:rsidR="009E3222" w:rsidRDefault="009E3222" w:rsidP="00D61BCF">
    <w:pPr>
      <w:pStyle w:val="Footer"/>
      <w:jc w:val="right"/>
    </w:pPr>
    <w:r w:rsidRPr="006D6458">
      <w:t xml:space="preserve">Page </w:t>
    </w:r>
    <w:r w:rsidRPr="006D6458">
      <w:rPr>
        <w:bCs/>
      </w:rPr>
      <w:fldChar w:fldCharType="begin"/>
    </w:r>
    <w:r w:rsidRPr="006D6458">
      <w:rPr>
        <w:bCs/>
      </w:rPr>
      <w:instrText xml:space="preserve"> PAGE </w:instrText>
    </w:r>
    <w:r w:rsidRPr="006D6458">
      <w:rPr>
        <w:bCs/>
      </w:rPr>
      <w:fldChar w:fldCharType="separate"/>
    </w:r>
    <w:r w:rsidR="00122A50">
      <w:rPr>
        <w:bCs/>
        <w:noProof/>
      </w:rPr>
      <w:t>8</w:t>
    </w:r>
    <w:r w:rsidRPr="006D6458">
      <w:rPr>
        <w:bCs/>
      </w:rPr>
      <w:fldChar w:fldCharType="end"/>
    </w:r>
    <w:r w:rsidRPr="006D6458">
      <w:t xml:space="preserve"> of </w:t>
    </w:r>
    <w:r w:rsidRPr="006D6458">
      <w:rPr>
        <w:bCs/>
      </w:rPr>
      <w:fldChar w:fldCharType="begin"/>
    </w:r>
    <w:r w:rsidRPr="006D6458">
      <w:rPr>
        <w:bCs/>
      </w:rPr>
      <w:instrText xml:space="preserve"> NUMPAGES  </w:instrText>
    </w:r>
    <w:r w:rsidRPr="006D6458">
      <w:rPr>
        <w:bCs/>
      </w:rPr>
      <w:fldChar w:fldCharType="separate"/>
    </w:r>
    <w:r w:rsidR="00122A50">
      <w:rPr>
        <w:bCs/>
        <w:noProof/>
      </w:rPr>
      <w:t>8</w:t>
    </w:r>
    <w:r w:rsidRPr="006D6458">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B9352" w14:textId="77777777" w:rsidR="005732E7" w:rsidRDefault="005732E7">
      <w:r>
        <w:separator/>
      </w:r>
    </w:p>
  </w:footnote>
  <w:footnote w:type="continuationSeparator" w:id="0">
    <w:p w14:paraId="672D1946" w14:textId="77777777" w:rsidR="005732E7" w:rsidRDefault="00573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CD1"/>
    <w:multiLevelType w:val="hybridMultilevel"/>
    <w:tmpl w:val="11F4F9D6"/>
    <w:lvl w:ilvl="0" w:tplc="0409000F">
      <w:start w:val="1"/>
      <w:numFmt w:val="decimal"/>
      <w:lvlText w:val="%1."/>
      <w:lvlJc w:val="left"/>
      <w:pPr>
        <w:ind w:left="720" w:hanging="360"/>
      </w:pPr>
      <w:rPr>
        <w:rFonts w:hint="default"/>
      </w:rPr>
    </w:lvl>
    <w:lvl w:ilvl="1" w:tplc="6D36194E">
      <w:start w:val="1"/>
      <w:numFmt w:val="decimal"/>
      <w:lvlText w:val="%2."/>
      <w:lvlJc w:val="left"/>
      <w:pPr>
        <w:ind w:left="1440" w:hanging="360"/>
      </w:pPr>
      <w:rPr>
        <w:rFonts w:ascii="Times New Roman" w:eastAsia="Times New Roman" w:hAnsi="Times New Roman"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A33EC8"/>
    <w:multiLevelType w:val="hybridMultilevel"/>
    <w:tmpl w:val="8DCC6E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786261"/>
    <w:multiLevelType w:val="hybridMultilevel"/>
    <w:tmpl w:val="031492E6"/>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E70A92"/>
    <w:multiLevelType w:val="hybridMultilevel"/>
    <w:tmpl w:val="984C40D8"/>
    <w:lvl w:ilvl="0" w:tplc="F7CCFE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F3466"/>
    <w:multiLevelType w:val="hybridMultilevel"/>
    <w:tmpl w:val="E70405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Aria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Arial"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4B459A5"/>
    <w:multiLevelType w:val="hybridMultilevel"/>
    <w:tmpl w:val="7B90C2BA"/>
    <w:lvl w:ilvl="0" w:tplc="A1EC7B4C">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F23D8"/>
    <w:multiLevelType w:val="hybridMultilevel"/>
    <w:tmpl w:val="AD8C562C"/>
    <w:lvl w:ilvl="0" w:tplc="288AA6CC">
      <w:start w:val="1"/>
      <w:numFmt w:val="lowerLetter"/>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56D0A"/>
    <w:multiLevelType w:val="hybridMultilevel"/>
    <w:tmpl w:val="DBF2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87FE6"/>
    <w:multiLevelType w:val="hybridMultilevel"/>
    <w:tmpl w:val="EF041F1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45EB7AD4"/>
    <w:multiLevelType w:val="multilevel"/>
    <w:tmpl w:val="E0E6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92AB4"/>
    <w:multiLevelType w:val="hybridMultilevel"/>
    <w:tmpl w:val="75A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A0374"/>
    <w:multiLevelType w:val="hybridMultilevel"/>
    <w:tmpl w:val="E8467022"/>
    <w:lvl w:ilvl="0" w:tplc="4CD023A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8128F"/>
    <w:multiLevelType w:val="multilevel"/>
    <w:tmpl w:val="B9C8BC98"/>
    <w:name w:val="zzmpBulletList||Bullet List|3|1|1|1|0|41||1|4|1||1|4|1||mpNA||mpNA||mpNA||mpNA||mpNA||mpNA||"/>
    <w:lvl w:ilvl="0">
      <w:start w:val="1"/>
      <w:numFmt w:val="bullet"/>
      <w:lvlRestart w:val="0"/>
      <w:pStyle w:val="BulletListL1"/>
      <w:lvlText w:val="·"/>
      <w:lvlJc w:val="left"/>
      <w:pPr>
        <w:tabs>
          <w:tab w:val="num" w:pos="720"/>
        </w:tabs>
        <w:ind w:left="720" w:hanging="720"/>
      </w:pPr>
      <w:rPr>
        <w:rFonts w:ascii="Symbol" w:hAnsi="Symbol" w:hint="default"/>
        <w:b w:val="0"/>
        <w:i w:val="0"/>
        <w:caps w:val="0"/>
        <w:smallCaps w:val="0"/>
        <w:color w:val="auto"/>
        <w:u w:val="none"/>
      </w:rPr>
    </w:lvl>
    <w:lvl w:ilvl="1">
      <w:start w:val="1"/>
      <w:numFmt w:val="bullet"/>
      <w:lvlRestart w:val="0"/>
      <w:pStyle w:val="BulletListL2"/>
      <w:lvlText w:val="·"/>
      <w:lvlJc w:val="left"/>
      <w:pPr>
        <w:tabs>
          <w:tab w:val="num" w:pos="1440"/>
        </w:tabs>
        <w:ind w:left="1440" w:hanging="720"/>
      </w:pPr>
      <w:rPr>
        <w:rFonts w:ascii="Symbol" w:hAnsi="Symbol" w:hint="default"/>
        <w:b w:val="0"/>
        <w:i w:val="0"/>
        <w:caps w:val="0"/>
        <w:u w:val="none"/>
      </w:rPr>
    </w:lvl>
    <w:lvl w:ilvl="2">
      <w:start w:val="1"/>
      <w:numFmt w:val="bullet"/>
      <w:lvlRestart w:val="0"/>
      <w:pStyle w:val="BulletListL3"/>
      <w:lvlText w:val="·"/>
      <w:lvlJc w:val="left"/>
      <w:pPr>
        <w:tabs>
          <w:tab w:val="num" w:pos="2880"/>
        </w:tabs>
        <w:ind w:left="2880" w:hanging="720"/>
      </w:pPr>
      <w:rPr>
        <w:rFonts w:ascii="Symbol" w:hAnsi="Symbol" w:hint="default"/>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5040"/>
        </w:tabs>
        <w:ind w:left="0" w:firstLine="4320"/>
      </w:pPr>
      <w:rPr>
        <w:b w:val="0"/>
        <w:i w:val="0"/>
        <w:caps w:val="0"/>
        <w:color w:val="auto"/>
        <w:u w:val="none"/>
      </w:rPr>
    </w:lvl>
    <w:lvl w:ilvl="7">
      <w:start w:val="1"/>
      <w:numFmt w:val="lowerRoman"/>
      <w:lvlText w:val="%8."/>
      <w:lvlJc w:val="left"/>
      <w:pPr>
        <w:tabs>
          <w:tab w:val="num" w:pos="5760"/>
        </w:tabs>
        <w:ind w:left="0" w:firstLine="5040"/>
      </w:pPr>
      <w:rPr>
        <w:b w:val="0"/>
        <w:i w:val="0"/>
        <w:caps w:val="0"/>
        <w:color w:val="auto"/>
        <w:u w:val="none"/>
      </w:rPr>
    </w:lvl>
    <w:lvl w:ilvl="8">
      <w:start w:val="1"/>
      <w:numFmt w:val="decimal"/>
      <w:lvlText w:val="%9."/>
      <w:lvlJc w:val="left"/>
      <w:pPr>
        <w:tabs>
          <w:tab w:val="num" w:pos="6480"/>
        </w:tabs>
        <w:ind w:left="0" w:firstLine="5760"/>
      </w:pPr>
      <w:rPr>
        <w:b w:val="0"/>
        <w:i w:val="0"/>
        <w:caps w:val="0"/>
        <w:color w:val="auto"/>
        <w:u w:val="none"/>
      </w:rPr>
    </w:lvl>
  </w:abstractNum>
  <w:abstractNum w:abstractNumId="13" w15:restartNumberingAfterBreak="0">
    <w:nsid w:val="4C9E1B0E"/>
    <w:multiLevelType w:val="hybridMultilevel"/>
    <w:tmpl w:val="D116F2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12C07"/>
    <w:multiLevelType w:val="hybridMultilevel"/>
    <w:tmpl w:val="A2BA5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6"/>
  </w:num>
  <w:num w:numId="9">
    <w:abstractNumId w:val="13"/>
  </w:num>
  <w:num w:numId="10">
    <w:abstractNumId w:val="14"/>
  </w:num>
  <w:num w:numId="11">
    <w:abstractNumId w:val="7"/>
  </w:num>
  <w:num w:numId="12">
    <w:abstractNumId w:val="5"/>
  </w:num>
  <w:num w:numId="13">
    <w:abstractNumId w:val="2"/>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D6"/>
    <w:rsid w:val="000001C0"/>
    <w:rsid w:val="000067AB"/>
    <w:rsid w:val="00022B2B"/>
    <w:rsid w:val="00022E42"/>
    <w:rsid w:val="0004076B"/>
    <w:rsid w:val="00065AE4"/>
    <w:rsid w:val="000718E9"/>
    <w:rsid w:val="00085283"/>
    <w:rsid w:val="000A5901"/>
    <w:rsid w:val="000C7EC9"/>
    <w:rsid w:val="000D1C94"/>
    <w:rsid w:val="000E69D6"/>
    <w:rsid w:val="000F34BD"/>
    <w:rsid w:val="00101513"/>
    <w:rsid w:val="00115120"/>
    <w:rsid w:val="00122A50"/>
    <w:rsid w:val="00123E31"/>
    <w:rsid w:val="0013111B"/>
    <w:rsid w:val="0014196F"/>
    <w:rsid w:val="00155020"/>
    <w:rsid w:val="001660F3"/>
    <w:rsid w:val="00175DFE"/>
    <w:rsid w:val="00185337"/>
    <w:rsid w:val="00186322"/>
    <w:rsid w:val="00186A67"/>
    <w:rsid w:val="001B2D2A"/>
    <w:rsid w:val="001C4F9D"/>
    <w:rsid w:val="001C768C"/>
    <w:rsid w:val="001C7F5E"/>
    <w:rsid w:val="001E7B8D"/>
    <w:rsid w:val="002020B9"/>
    <w:rsid w:val="00204043"/>
    <w:rsid w:val="00212148"/>
    <w:rsid w:val="0021228E"/>
    <w:rsid w:val="00216E1D"/>
    <w:rsid w:val="002246D2"/>
    <w:rsid w:val="00227ADD"/>
    <w:rsid w:val="00227BD3"/>
    <w:rsid w:val="0023668F"/>
    <w:rsid w:val="00241A98"/>
    <w:rsid w:val="00255F4F"/>
    <w:rsid w:val="00277CC3"/>
    <w:rsid w:val="002843C7"/>
    <w:rsid w:val="002926A3"/>
    <w:rsid w:val="002949D0"/>
    <w:rsid w:val="002A064F"/>
    <w:rsid w:val="002A0CB2"/>
    <w:rsid w:val="002B2333"/>
    <w:rsid w:val="002D6A6D"/>
    <w:rsid w:val="002E19E3"/>
    <w:rsid w:val="002F35E5"/>
    <w:rsid w:val="002F73F3"/>
    <w:rsid w:val="0032422D"/>
    <w:rsid w:val="00330C1F"/>
    <w:rsid w:val="00351E23"/>
    <w:rsid w:val="00363947"/>
    <w:rsid w:val="00367D07"/>
    <w:rsid w:val="00375439"/>
    <w:rsid w:val="003857CD"/>
    <w:rsid w:val="00393F68"/>
    <w:rsid w:val="00397BBC"/>
    <w:rsid w:val="003A325B"/>
    <w:rsid w:val="003A635D"/>
    <w:rsid w:val="003C3787"/>
    <w:rsid w:val="003C39F8"/>
    <w:rsid w:val="003C740B"/>
    <w:rsid w:val="003D01E3"/>
    <w:rsid w:val="003D0F36"/>
    <w:rsid w:val="003D2295"/>
    <w:rsid w:val="003E6509"/>
    <w:rsid w:val="00405CE3"/>
    <w:rsid w:val="00440788"/>
    <w:rsid w:val="00454B12"/>
    <w:rsid w:val="00457D62"/>
    <w:rsid w:val="00464D10"/>
    <w:rsid w:val="00467C42"/>
    <w:rsid w:val="00474CE8"/>
    <w:rsid w:val="004829DE"/>
    <w:rsid w:val="004A19F8"/>
    <w:rsid w:val="004B2E84"/>
    <w:rsid w:val="004C025A"/>
    <w:rsid w:val="004C388B"/>
    <w:rsid w:val="004C7526"/>
    <w:rsid w:val="004C7C68"/>
    <w:rsid w:val="004D5930"/>
    <w:rsid w:val="004E0E07"/>
    <w:rsid w:val="00525CE8"/>
    <w:rsid w:val="0052662B"/>
    <w:rsid w:val="00544BCB"/>
    <w:rsid w:val="005732E7"/>
    <w:rsid w:val="005738D6"/>
    <w:rsid w:val="00576917"/>
    <w:rsid w:val="005C4D2E"/>
    <w:rsid w:val="005E3445"/>
    <w:rsid w:val="005F3DD4"/>
    <w:rsid w:val="005F433A"/>
    <w:rsid w:val="006038E7"/>
    <w:rsid w:val="00617E37"/>
    <w:rsid w:val="0063229E"/>
    <w:rsid w:val="00641031"/>
    <w:rsid w:val="006637F1"/>
    <w:rsid w:val="006A7524"/>
    <w:rsid w:val="006B1E53"/>
    <w:rsid w:val="006B7231"/>
    <w:rsid w:val="006D0039"/>
    <w:rsid w:val="006D6458"/>
    <w:rsid w:val="006E3A03"/>
    <w:rsid w:val="007052CC"/>
    <w:rsid w:val="00716F46"/>
    <w:rsid w:val="00723B46"/>
    <w:rsid w:val="00776962"/>
    <w:rsid w:val="00786A70"/>
    <w:rsid w:val="007A3C1D"/>
    <w:rsid w:val="007B2574"/>
    <w:rsid w:val="007C663B"/>
    <w:rsid w:val="00824C3E"/>
    <w:rsid w:val="008309C0"/>
    <w:rsid w:val="00834828"/>
    <w:rsid w:val="00836AD5"/>
    <w:rsid w:val="00866B0A"/>
    <w:rsid w:val="00873C3F"/>
    <w:rsid w:val="00874FFF"/>
    <w:rsid w:val="00876544"/>
    <w:rsid w:val="008A068C"/>
    <w:rsid w:val="008B0A91"/>
    <w:rsid w:val="008C5064"/>
    <w:rsid w:val="008C7C76"/>
    <w:rsid w:val="008D2F37"/>
    <w:rsid w:val="008D5CDF"/>
    <w:rsid w:val="0090025D"/>
    <w:rsid w:val="00901F96"/>
    <w:rsid w:val="00902BCB"/>
    <w:rsid w:val="009059F0"/>
    <w:rsid w:val="00905F3D"/>
    <w:rsid w:val="00915D0F"/>
    <w:rsid w:val="00917CB8"/>
    <w:rsid w:val="00920F62"/>
    <w:rsid w:val="009248AB"/>
    <w:rsid w:val="009274C9"/>
    <w:rsid w:val="00947D28"/>
    <w:rsid w:val="009523D1"/>
    <w:rsid w:val="00954F8C"/>
    <w:rsid w:val="00964B3C"/>
    <w:rsid w:val="00964E7F"/>
    <w:rsid w:val="0098277D"/>
    <w:rsid w:val="00985944"/>
    <w:rsid w:val="009870A1"/>
    <w:rsid w:val="009905AD"/>
    <w:rsid w:val="00990A92"/>
    <w:rsid w:val="00990ACF"/>
    <w:rsid w:val="0099273F"/>
    <w:rsid w:val="0099311E"/>
    <w:rsid w:val="009A6875"/>
    <w:rsid w:val="009B531C"/>
    <w:rsid w:val="009C3029"/>
    <w:rsid w:val="009E3222"/>
    <w:rsid w:val="00A30AD2"/>
    <w:rsid w:val="00AB1208"/>
    <w:rsid w:val="00AC3FA2"/>
    <w:rsid w:val="00AE0582"/>
    <w:rsid w:val="00AE4812"/>
    <w:rsid w:val="00B10F35"/>
    <w:rsid w:val="00B2359A"/>
    <w:rsid w:val="00B30A22"/>
    <w:rsid w:val="00B433F4"/>
    <w:rsid w:val="00B644B6"/>
    <w:rsid w:val="00B66962"/>
    <w:rsid w:val="00B67C7A"/>
    <w:rsid w:val="00B72E1A"/>
    <w:rsid w:val="00B76203"/>
    <w:rsid w:val="00B76462"/>
    <w:rsid w:val="00BA0747"/>
    <w:rsid w:val="00BC22C6"/>
    <w:rsid w:val="00BC4DF7"/>
    <w:rsid w:val="00BD5691"/>
    <w:rsid w:val="00BD597F"/>
    <w:rsid w:val="00BF3815"/>
    <w:rsid w:val="00BF73AA"/>
    <w:rsid w:val="00C02679"/>
    <w:rsid w:val="00C13026"/>
    <w:rsid w:val="00C37817"/>
    <w:rsid w:val="00C41896"/>
    <w:rsid w:val="00C51FB9"/>
    <w:rsid w:val="00C6288E"/>
    <w:rsid w:val="00C7040C"/>
    <w:rsid w:val="00C72BEE"/>
    <w:rsid w:val="00C77CE3"/>
    <w:rsid w:val="00C90630"/>
    <w:rsid w:val="00CA2BB1"/>
    <w:rsid w:val="00CB0DD0"/>
    <w:rsid w:val="00CB7076"/>
    <w:rsid w:val="00CC7A9C"/>
    <w:rsid w:val="00CD39E6"/>
    <w:rsid w:val="00CD6018"/>
    <w:rsid w:val="00D008D5"/>
    <w:rsid w:val="00D031CC"/>
    <w:rsid w:val="00D206A8"/>
    <w:rsid w:val="00D25543"/>
    <w:rsid w:val="00D37059"/>
    <w:rsid w:val="00D46D5D"/>
    <w:rsid w:val="00D61A4B"/>
    <w:rsid w:val="00D61BCF"/>
    <w:rsid w:val="00D629D5"/>
    <w:rsid w:val="00D65CD6"/>
    <w:rsid w:val="00D71063"/>
    <w:rsid w:val="00D768C6"/>
    <w:rsid w:val="00D82A2D"/>
    <w:rsid w:val="00DA073F"/>
    <w:rsid w:val="00DB1123"/>
    <w:rsid w:val="00DB5523"/>
    <w:rsid w:val="00DE1025"/>
    <w:rsid w:val="00DE7050"/>
    <w:rsid w:val="00DF612D"/>
    <w:rsid w:val="00E02C4E"/>
    <w:rsid w:val="00E07330"/>
    <w:rsid w:val="00E106CB"/>
    <w:rsid w:val="00E14B74"/>
    <w:rsid w:val="00E16E3D"/>
    <w:rsid w:val="00E62DF6"/>
    <w:rsid w:val="00E643C3"/>
    <w:rsid w:val="00E730E7"/>
    <w:rsid w:val="00E87B06"/>
    <w:rsid w:val="00EB307E"/>
    <w:rsid w:val="00ED6BB6"/>
    <w:rsid w:val="00ED6BF9"/>
    <w:rsid w:val="00EE0493"/>
    <w:rsid w:val="00EE089B"/>
    <w:rsid w:val="00EF04B0"/>
    <w:rsid w:val="00F0098C"/>
    <w:rsid w:val="00F11A34"/>
    <w:rsid w:val="00F27AB8"/>
    <w:rsid w:val="00F615E6"/>
    <w:rsid w:val="00F80518"/>
    <w:rsid w:val="00F8208B"/>
    <w:rsid w:val="00F862CF"/>
    <w:rsid w:val="00FA1B6F"/>
    <w:rsid w:val="00FD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B691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6CB"/>
    <w:pPr>
      <w:spacing w:after="160"/>
    </w:pPr>
    <w:rPr>
      <w:sz w:val="24"/>
      <w:szCs w:val="24"/>
    </w:rPr>
  </w:style>
  <w:style w:type="paragraph" w:styleId="Heading1">
    <w:name w:val="heading 1"/>
    <w:basedOn w:val="Normal"/>
    <w:next w:val="Normal"/>
    <w:qFormat/>
    <w:rsid w:val="0023668F"/>
    <w:pPr>
      <w:keepNext/>
      <w:spacing w:before="240" w:after="60"/>
      <w:outlineLvl w:val="0"/>
    </w:pPr>
    <w:rPr>
      <w:b/>
    </w:rPr>
  </w:style>
  <w:style w:type="paragraph" w:styleId="Heading2">
    <w:name w:val="heading 2"/>
    <w:basedOn w:val="Normal"/>
    <w:next w:val="Normal"/>
    <w:link w:val="Heading2Char"/>
    <w:unhideWhenUsed/>
    <w:qFormat/>
    <w:rsid w:val="0023668F"/>
    <w:pPr>
      <w:keepNext/>
      <w:spacing w:before="24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325F"/>
    <w:pPr>
      <w:jc w:val="both"/>
    </w:pPr>
    <w:rPr>
      <w:szCs w:val="20"/>
    </w:rPr>
  </w:style>
  <w:style w:type="paragraph" w:styleId="BodyTextFirstIndent">
    <w:name w:val="Body Text First Indent"/>
    <w:basedOn w:val="BodyText"/>
    <w:rsid w:val="00CB325F"/>
    <w:pPr>
      <w:spacing w:after="240"/>
      <w:ind w:firstLine="720"/>
    </w:pPr>
  </w:style>
  <w:style w:type="paragraph" w:customStyle="1" w:styleId="BulletListL1">
    <w:name w:val="BulletList_L1"/>
    <w:basedOn w:val="Normal"/>
    <w:rsid w:val="00CB325F"/>
    <w:pPr>
      <w:numPr>
        <w:numId w:val="1"/>
      </w:numPr>
      <w:spacing w:after="240"/>
      <w:jc w:val="both"/>
      <w:outlineLvl w:val="0"/>
    </w:pPr>
    <w:rPr>
      <w:b/>
      <w:caps/>
      <w:szCs w:val="20"/>
    </w:rPr>
  </w:style>
  <w:style w:type="paragraph" w:customStyle="1" w:styleId="BulletListL2">
    <w:name w:val="BulletList_L2"/>
    <w:basedOn w:val="BulletListL1"/>
    <w:next w:val="BodyText"/>
    <w:rsid w:val="00CB325F"/>
    <w:pPr>
      <w:numPr>
        <w:ilvl w:val="1"/>
      </w:numPr>
      <w:jc w:val="left"/>
      <w:outlineLvl w:val="1"/>
    </w:pPr>
    <w:rPr>
      <w:b w:val="0"/>
      <w:caps w:val="0"/>
    </w:rPr>
  </w:style>
  <w:style w:type="paragraph" w:customStyle="1" w:styleId="BulletListL3">
    <w:name w:val="BulletList_L3"/>
    <w:basedOn w:val="BulletListL2"/>
    <w:next w:val="BodyText"/>
    <w:rsid w:val="00CB325F"/>
    <w:pPr>
      <w:numPr>
        <w:ilvl w:val="2"/>
      </w:numPr>
      <w:outlineLvl w:val="2"/>
    </w:pPr>
  </w:style>
  <w:style w:type="paragraph" w:styleId="BalloonText">
    <w:name w:val="Balloon Text"/>
    <w:basedOn w:val="Normal"/>
    <w:semiHidden/>
    <w:rsid w:val="0037597D"/>
    <w:rPr>
      <w:rFonts w:ascii="Tahoma" w:hAnsi="Tahoma" w:cs="Tahoma"/>
      <w:sz w:val="16"/>
      <w:szCs w:val="16"/>
    </w:rPr>
  </w:style>
  <w:style w:type="paragraph" w:styleId="Header">
    <w:name w:val="header"/>
    <w:basedOn w:val="Normal"/>
    <w:rsid w:val="0046618B"/>
    <w:pPr>
      <w:tabs>
        <w:tab w:val="center" w:pos="4320"/>
        <w:tab w:val="right" w:pos="8640"/>
      </w:tabs>
    </w:pPr>
  </w:style>
  <w:style w:type="paragraph" w:styleId="Footer">
    <w:name w:val="footer"/>
    <w:basedOn w:val="Normal"/>
    <w:link w:val="FooterChar"/>
    <w:uiPriority w:val="99"/>
    <w:rsid w:val="0046618B"/>
    <w:pPr>
      <w:tabs>
        <w:tab w:val="center" w:pos="4320"/>
        <w:tab w:val="right" w:pos="8640"/>
      </w:tabs>
    </w:pPr>
    <w:rPr>
      <w:lang w:val="x-none" w:eastAsia="x-none"/>
    </w:rPr>
  </w:style>
  <w:style w:type="paragraph" w:styleId="BodyTextIndent3">
    <w:name w:val="Body Text Indent 3"/>
    <w:basedOn w:val="Normal"/>
    <w:link w:val="BodyTextIndent3Char"/>
    <w:rsid w:val="00004EE6"/>
    <w:pPr>
      <w:spacing w:after="120"/>
      <w:ind w:left="360"/>
    </w:pPr>
    <w:rPr>
      <w:sz w:val="16"/>
      <w:szCs w:val="16"/>
      <w:lang w:val="x-none" w:eastAsia="x-none"/>
    </w:rPr>
  </w:style>
  <w:style w:type="character" w:customStyle="1" w:styleId="BodyTextIndent3Char">
    <w:name w:val="Body Text Indent 3 Char"/>
    <w:link w:val="BodyTextIndent3"/>
    <w:rsid w:val="00004EE6"/>
    <w:rPr>
      <w:sz w:val="16"/>
      <w:szCs w:val="16"/>
    </w:rPr>
  </w:style>
  <w:style w:type="character" w:styleId="Hyperlink">
    <w:name w:val="Hyperlink"/>
    <w:rsid w:val="004713E8"/>
    <w:rPr>
      <w:color w:val="0000FF"/>
      <w:u w:val="single"/>
    </w:rPr>
  </w:style>
  <w:style w:type="paragraph" w:customStyle="1" w:styleId="ColorfulList-Accent11">
    <w:name w:val="Colorful List - Accent 11"/>
    <w:basedOn w:val="Normal"/>
    <w:uiPriority w:val="34"/>
    <w:qFormat/>
    <w:rsid w:val="004B0C44"/>
    <w:pPr>
      <w:ind w:left="720"/>
    </w:pPr>
  </w:style>
  <w:style w:type="character" w:customStyle="1" w:styleId="FooterChar">
    <w:name w:val="Footer Char"/>
    <w:link w:val="Footer"/>
    <w:uiPriority w:val="99"/>
    <w:rsid w:val="00487A23"/>
    <w:rPr>
      <w:sz w:val="24"/>
      <w:szCs w:val="24"/>
    </w:rPr>
  </w:style>
  <w:style w:type="character" w:styleId="CommentReference">
    <w:name w:val="annotation reference"/>
    <w:rsid w:val="00F346E0"/>
    <w:rPr>
      <w:sz w:val="16"/>
      <w:szCs w:val="16"/>
    </w:rPr>
  </w:style>
  <w:style w:type="paragraph" w:styleId="CommentText">
    <w:name w:val="annotation text"/>
    <w:basedOn w:val="Normal"/>
    <w:link w:val="CommentTextChar"/>
    <w:rsid w:val="00F346E0"/>
    <w:rPr>
      <w:sz w:val="20"/>
      <w:szCs w:val="20"/>
    </w:rPr>
  </w:style>
  <w:style w:type="character" w:customStyle="1" w:styleId="CommentTextChar">
    <w:name w:val="Comment Text Char"/>
    <w:basedOn w:val="DefaultParagraphFont"/>
    <w:link w:val="CommentText"/>
    <w:rsid w:val="00F346E0"/>
  </w:style>
  <w:style w:type="paragraph" w:styleId="CommentSubject">
    <w:name w:val="annotation subject"/>
    <w:basedOn w:val="CommentText"/>
    <w:next w:val="CommentText"/>
    <w:link w:val="CommentSubjectChar"/>
    <w:rsid w:val="00F346E0"/>
    <w:rPr>
      <w:b/>
      <w:bCs/>
      <w:lang w:val="x-none" w:eastAsia="x-none"/>
    </w:rPr>
  </w:style>
  <w:style w:type="character" w:customStyle="1" w:styleId="CommentSubjectChar">
    <w:name w:val="Comment Subject Char"/>
    <w:link w:val="CommentSubject"/>
    <w:rsid w:val="00F346E0"/>
    <w:rPr>
      <w:b/>
      <w:bCs/>
    </w:rPr>
  </w:style>
  <w:style w:type="paragraph" w:customStyle="1" w:styleId="ColorfulShading-Accent11">
    <w:name w:val="Colorful Shading - Accent 11"/>
    <w:hidden/>
    <w:uiPriority w:val="99"/>
    <w:semiHidden/>
    <w:rsid w:val="00F346E0"/>
    <w:rPr>
      <w:sz w:val="24"/>
      <w:szCs w:val="24"/>
    </w:rPr>
  </w:style>
  <w:style w:type="paragraph" w:styleId="ListParagraph">
    <w:name w:val="List Paragraph"/>
    <w:basedOn w:val="Normal"/>
    <w:uiPriority w:val="34"/>
    <w:qFormat/>
    <w:rsid w:val="00D031CC"/>
    <w:pPr>
      <w:ind w:left="720"/>
    </w:pPr>
  </w:style>
  <w:style w:type="paragraph" w:customStyle="1" w:styleId="Default">
    <w:name w:val="Default"/>
    <w:rsid w:val="004D5930"/>
    <w:pPr>
      <w:autoSpaceDE w:val="0"/>
      <w:autoSpaceDN w:val="0"/>
      <w:adjustRightInd w:val="0"/>
    </w:pPr>
    <w:rPr>
      <w:rFonts w:eastAsia="Calibri"/>
      <w:color w:val="000000"/>
      <w:sz w:val="24"/>
      <w:szCs w:val="24"/>
    </w:rPr>
  </w:style>
  <w:style w:type="table" w:styleId="TableGrid">
    <w:name w:val="Table Grid"/>
    <w:basedOn w:val="TableNormal"/>
    <w:rsid w:val="0018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523D1"/>
    <w:pPr>
      <w:spacing w:before="57" w:after="0"/>
      <w:ind w:left="96" w:hanging="3"/>
    </w:pPr>
    <w:rPr>
      <w:rFonts w:ascii="Arial" w:hAnsi="Arial" w:cs="Arial"/>
      <w:sz w:val="14"/>
      <w:szCs w:val="14"/>
    </w:rPr>
  </w:style>
  <w:style w:type="character" w:customStyle="1" w:styleId="Heading2Char">
    <w:name w:val="Heading 2 Char"/>
    <w:link w:val="Heading2"/>
    <w:rsid w:val="0023668F"/>
    <w:rPr>
      <w:rFonts w:eastAsia="Times New Roman" w:cs="Times New Roman"/>
      <w:b/>
      <w:bCs/>
      <w:i/>
      <w:iCs/>
      <w:sz w:val="24"/>
      <w:szCs w:val="28"/>
    </w:rPr>
  </w:style>
  <w:style w:type="paragraph" w:customStyle="1" w:styleId="p2">
    <w:name w:val="p2"/>
    <w:basedOn w:val="Normal"/>
    <w:rsid w:val="009523D1"/>
    <w:pPr>
      <w:spacing w:before="3" w:after="0"/>
    </w:pPr>
    <w:rPr>
      <w:rFonts w:ascii="Arial" w:hAnsi="Arial" w:cs="Arial"/>
      <w:sz w:val="13"/>
      <w:szCs w:val="13"/>
    </w:rPr>
  </w:style>
  <w:style w:type="paragraph" w:customStyle="1" w:styleId="p3">
    <w:name w:val="p3"/>
    <w:basedOn w:val="Normal"/>
    <w:rsid w:val="009523D1"/>
    <w:pPr>
      <w:spacing w:after="0"/>
      <w:ind w:left="96"/>
    </w:pPr>
    <w:rPr>
      <w:rFonts w:ascii="Arial" w:hAnsi="Arial" w:cs="Arial"/>
      <w:sz w:val="14"/>
      <w:szCs w:val="14"/>
    </w:rPr>
  </w:style>
  <w:style w:type="paragraph" w:customStyle="1" w:styleId="p4">
    <w:name w:val="p4"/>
    <w:basedOn w:val="Normal"/>
    <w:rsid w:val="009523D1"/>
    <w:pPr>
      <w:spacing w:before="8" w:after="0"/>
    </w:pPr>
    <w:rPr>
      <w:rFonts w:ascii="Arial" w:hAnsi="Arial" w:cs="Arial"/>
      <w:sz w:val="12"/>
      <w:szCs w:val="12"/>
    </w:rPr>
  </w:style>
  <w:style w:type="paragraph" w:customStyle="1" w:styleId="p5">
    <w:name w:val="p5"/>
    <w:basedOn w:val="Normal"/>
    <w:rsid w:val="009523D1"/>
    <w:pPr>
      <w:spacing w:after="0"/>
      <w:ind w:left="99" w:hanging="8"/>
    </w:pPr>
    <w:rPr>
      <w:rFonts w:ascii="Arial" w:hAnsi="Arial" w:cs="Arial"/>
      <w:sz w:val="14"/>
      <w:szCs w:val="14"/>
    </w:rPr>
  </w:style>
  <w:style w:type="paragraph" w:customStyle="1" w:styleId="p6">
    <w:name w:val="p6"/>
    <w:basedOn w:val="Normal"/>
    <w:rsid w:val="009523D1"/>
    <w:pPr>
      <w:spacing w:after="0"/>
      <w:ind w:left="89" w:firstLine="3"/>
    </w:pPr>
    <w:rPr>
      <w:rFonts w:ascii="Arial" w:hAnsi="Arial" w:cs="Arial"/>
      <w:sz w:val="14"/>
      <w:szCs w:val="14"/>
    </w:rPr>
  </w:style>
  <w:style w:type="character" w:customStyle="1" w:styleId="s1">
    <w:name w:val="s1"/>
    <w:basedOn w:val="DefaultParagraphFont"/>
    <w:rsid w:val="009523D1"/>
    <w:rPr>
      <w:spacing w:val="21"/>
    </w:rPr>
  </w:style>
  <w:style w:type="character" w:customStyle="1" w:styleId="s2">
    <w:name w:val="s2"/>
    <w:basedOn w:val="DefaultParagraphFont"/>
    <w:rsid w:val="009523D1"/>
    <w:rPr>
      <w:spacing w:val="15"/>
    </w:rPr>
  </w:style>
  <w:style w:type="character" w:customStyle="1" w:styleId="s3">
    <w:name w:val="s3"/>
    <w:basedOn w:val="DefaultParagraphFont"/>
    <w:rsid w:val="009523D1"/>
    <w:rPr>
      <w:spacing w:val="14"/>
    </w:rPr>
  </w:style>
  <w:style w:type="character" w:customStyle="1" w:styleId="s4">
    <w:name w:val="s4"/>
    <w:basedOn w:val="DefaultParagraphFont"/>
    <w:rsid w:val="009523D1"/>
    <w:rPr>
      <w:spacing w:val="29"/>
    </w:rPr>
  </w:style>
  <w:style w:type="character" w:customStyle="1" w:styleId="s5">
    <w:name w:val="s5"/>
    <w:basedOn w:val="DefaultParagraphFont"/>
    <w:rsid w:val="009523D1"/>
    <w:rPr>
      <w:spacing w:val="17"/>
    </w:rPr>
  </w:style>
  <w:style w:type="character" w:customStyle="1" w:styleId="s6">
    <w:name w:val="s6"/>
    <w:basedOn w:val="DefaultParagraphFont"/>
    <w:rsid w:val="009523D1"/>
    <w:rPr>
      <w:spacing w:val="18"/>
    </w:rPr>
  </w:style>
  <w:style w:type="character" w:customStyle="1" w:styleId="s7">
    <w:name w:val="s7"/>
    <w:basedOn w:val="DefaultParagraphFont"/>
    <w:rsid w:val="009523D1"/>
    <w:rPr>
      <w:spacing w:val="23"/>
    </w:rPr>
  </w:style>
  <w:style w:type="character" w:customStyle="1" w:styleId="s8">
    <w:name w:val="s8"/>
    <w:basedOn w:val="DefaultParagraphFont"/>
    <w:rsid w:val="009523D1"/>
    <w:rPr>
      <w:spacing w:val="11"/>
    </w:rPr>
  </w:style>
  <w:style w:type="character" w:customStyle="1" w:styleId="s9">
    <w:name w:val="s9"/>
    <w:basedOn w:val="DefaultParagraphFont"/>
    <w:rsid w:val="009523D1"/>
    <w:rPr>
      <w:spacing w:val="24"/>
    </w:rPr>
  </w:style>
  <w:style w:type="character" w:customStyle="1" w:styleId="s10">
    <w:name w:val="s10"/>
    <w:basedOn w:val="DefaultParagraphFont"/>
    <w:rsid w:val="009523D1"/>
    <w:rPr>
      <w:spacing w:val="12"/>
    </w:rPr>
  </w:style>
  <w:style w:type="character" w:customStyle="1" w:styleId="s11">
    <w:name w:val="s11"/>
    <w:basedOn w:val="DefaultParagraphFont"/>
    <w:rsid w:val="009523D1"/>
    <w:rPr>
      <w:spacing w:val="6"/>
    </w:rPr>
  </w:style>
  <w:style w:type="character" w:customStyle="1" w:styleId="s12">
    <w:name w:val="s12"/>
    <w:basedOn w:val="DefaultParagraphFont"/>
    <w:rsid w:val="009523D1"/>
    <w:rPr>
      <w:spacing w:val="9"/>
    </w:rPr>
  </w:style>
  <w:style w:type="character" w:customStyle="1" w:styleId="s13">
    <w:name w:val="s13"/>
    <w:basedOn w:val="DefaultParagraphFont"/>
    <w:rsid w:val="009523D1"/>
    <w:rPr>
      <w:spacing w:val="3"/>
    </w:rPr>
  </w:style>
  <w:style w:type="character" w:customStyle="1" w:styleId="s14">
    <w:name w:val="s14"/>
    <w:basedOn w:val="DefaultParagraphFont"/>
    <w:rsid w:val="009523D1"/>
    <w:rPr>
      <w:spacing w:val="-3"/>
    </w:rPr>
  </w:style>
  <w:style w:type="character" w:customStyle="1" w:styleId="s15">
    <w:name w:val="s15"/>
    <w:basedOn w:val="DefaultParagraphFont"/>
    <w:rsid w:val="009523D1"/>
    <w:rPr>
      <w:spacing w:val="38"/>
    </w:rPr>
  </w:style>
  <w:style w:type="character" w:customStyle="1" w:styleId="s16">
    <w:name w:val="s16"/>
    <w:basedOn w:val="DefaultParagraphFont"/>
    <w:rsid w:val="009523D1"/>
    <w:rPr>
      <w:spacing w:val="30"/>
    </w:rPr>
  </w:style>
  <w:style w:type="character" w:customStyle="1" w:styleId="s17">
    <w:name w:val="s17"/>
    <w:basedOn w:val="DefaultParagraphFont"/>
    <w:rsid w:val="009523D1"/>
    <w:rPr>
      <w:spacing w:val="-2"/>
    </w:rPr>
  </w:style>
  <w:style w:type="character" w:customStyle="1" w:styleId="s18">
    <w:name w:val="s18"/>
    <w:basedOn w:val="DefaultParagraphFont"/>
    <w:rsid w:val="009523D1"/>
    <w:rPr>
      <w:spacing w:val="8"/>
    </w:rPr>
  </w:style>
  <w:style w:type="character" w:customStyle="1" w:styleId="s19">
    <w:name w:val="s19"/>
    <w:basedOn w:val="DefaultParagraphFont"/>
    <w:rsid w:val="009523D1"/>
    <w:rPr>
      <w:spacing w:val="5"/>
    </w:rPr>
  </w:style>
  <w:style w:type="character" w:customStyle="1" w:styleId="s20">
    <w:name w:val="s20"/>
    <w:basedOn w:val="DefaultParagraphFont"/>
    <w:rsid w:val="009523D1"/>
    <w:rPr>
      <w:spacing w:val="2"/>
    </w:rPr>
  </w:style>
  <w:style w:type="character" w:customStyle="1" w:styleId="s21">
    <w:name w:val="s21"/>
    <w:basedOn w:val="DefaultParagraphFont"/>
    <w:rsid w:val="009523D1"/>
    <w:rPr>
      <w:spacing w:val="-6"/>
    </w:rPr>
  </w:style>
  <w:style w:type="character" w:customStyle="1" w:styleId="s22">
    <w:name w:val="s22"/>
    <w:basedOn w:val="DefaultParagraphFont"/>
    <w:rsid w:val="009523D1"/>
    <w:rPr>
      <w:spacing w:val="20"/>
    </w:rPr>
  </w:style>
  <w:style w:type="character" w:customStyle="1" w:styleId="s23">
    <w:name w:val="s23"/>
    <w:basedOn w:val="DefaultParagraphFont"/>
    <w:rsid w:val="009523D1"/>
    <w:rPr>
      <w:spacing w:val="32"/>
    </w:rPr>
  </w:style>
  <w:style w:type="character" w:customStyle="1" w:styleId="s24">
    <w:name w:val="s24"/>
    <w:basedOn w:val="DefaultParagraphFont"/>
    <w:rsid w:val="009523D1"/>
    <w:rPr>
      <w:spacing w:val="-15"/>
    </w:rPr>
  </w:style>
  <w:style w:type="character" w:customStyle="1" w:styleId="s25">
    <w:name w:val="s25"/>
    <w:basedOn w:val="DefaultParagraphFont"/>
    <w:rsid w:val="009523D1"/>
    <w:rPr>
      <w:spacing w:val="-24"/>
    </w:rPr>
  </w:style>
  <w:style w:type="character" w:customStyle="1" w:styleId="s26">
    <w:name w:val="s26"/>
    <w:basedOn w:val="DefaultParagraphFont"/>
    <w:rsid w:val="009523D1"/>
    <w:rPr>
      <w:spacing w:val="-8"/>
    </w:rPr>
  </w:style>
  <w:style w:type="character" w:customStyle="1" w:styleId="s27">
    <w:name w:val="s27"/>
    <w:basedOn w:val="DefaultParagraphFont"/>
    <w:rsid w:val="009523D1"/>
    <w:rPr>
      <w:spacing w:val="-12"/>
    </w:rPr>
  </w:style>
  <w:style w:type="character" w:customStyle="1" w:styleId="s28">
    <w:name w:val="s28"/>
    <w:basedOn w:val="DefaultParagraphFont"/>
    <w:rsid w:val="009523D1"/>
    <w:rPr>
      <w:spacing w:val="-18"/>
    </w:rPr>
  </w:style>
  <w:style w:type="character" w:customStyle="1" w:styleId="s29">
    <w:name w:val="s29"/>
    <w:basedOn w:val="DefaultParagraphFont"/>
    <w:rsid w:val="009523D1"/>
    <w:rPr>
      <w:spacing w:val="-11"/>
    </w:rPr>
  </w:style>
  <w:style w:type="character" w:customStyle="1" w:styleId="s30">
    <w:name w:val="s30"/>
    <w:basedOn w:val="DefaultParagraphFont"/>
    <w:rsid w:val="009523D1"/>
    <w:rPr>
      <w:spacing w:val="-14"/>
    </w:rPr>
  </w:style>
  <w:style w:type="character" w:customStyle="1" w:styleId="s31">
    <w:name w:val="s31"/>
    <w:basedOn w:val="DefaultParagraphFont"/>
    <w:rsid w:val="009523D1"/>
    <w:rPr>
      <w:spacing w:val="-17"/>
    </w:rPr>
  </w:style>
  <w:style w:type="character" w:customStyle="1" w:styleId="s32">
    <w:name w:val="s32"/>
    <w:basedOn w:val="DefaultParagraphFont"/>
    <w:rsid w:val="009523D1"/>
    <w:rPr>
      <w:spacing w:val="-5"/>
    </w:rPr>
  </w:style>
  <w:style w:type="character" w:customStyle="1" w:styleId="s33">
    <w:name w:val="s33"/>
    <w:basedOn w:val="DefaultParagraphFont"/>
    <w:rsid w:val="009523D1"/>
    <w:rPr>
      <w:spacing w:val="-9"/>
    </w:rPr>
  </w:style>
  <w:style w:type="character" w:customStyle="1" w:styleId="s34">
    <w:name w:val="s34"/>
    <w:basedOn w:val="DefaultParagraphFont"/>
    <w:rsid w:val="009523D1"/>
    <w:rPr>
      <w:spacing w:val="-23"/>
    </w:rPr>
  </w:style>
  <w:style w:type="character" w:customStyle="1" w:styleId="apple-converted-space">
    <w:name w:val="apple-converted-space"/>
    <w:basedOn w:val="DefaultParagraphFont"/>
    <w:rsid w:val="009523D1"/>
  </w:style>
  <w:style w:type="character" w:customStyle="1" w:styleId="DeltaViewInsertion">
    <w:name w:val="DeltaView Insertion"/>
    <w:rsid w:val="00836AD5"/>
    <w:rPr>
      <w:b/>
      <w:bCs/>
      <w:spacing w:val="0"/>
      <w:u w:val="double"/>
    </w:rPr>
  </w:style>
  <w:style w:type="paragraph" w:styleId="NormalWeb">
    <w:name w:val="Normal (Web)"/>
    <w:basedOn w:val="Normal"/>
    <w:uiPriority w:val="99"/>
    <w:unhideWhenUsed/>
    <w:rsid w:val="001550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46535">
      <w:bodyDiv w:val="1"/>
      <w:marLeft w:val="0"/>
      <w:marRight w:val="0"/>
      <w:marTop w:val="0"/>
      <w:marBottom w:val="0"/>
      <w:divBdr>
        <w:top w:val="none" w:sz="0" w:space="0" w:color="auto"/>
        <w:left w:val="none" w:sz="0" w:space="0" w:color="auto"/>
        <w:bottom w:val="none" w:sz="0" w:space="0" w:color="auto"/>
        <w:right w:val="none" w:sz="0" w:space="0" w:color="auto"/>
      </w:divBdr>
    </w:div>
    <w:div w:id="1021782433">
      <w:bodyDiv w:val="1"/>
      <w:marLeft w:val="0"/>
      <w:marRight w:val="0"/>
      <w:marTop w:val="0"/>
      <w:marBottom w:val="0"/>
      <w:divBdr>
        <w:top w:val="none" w:sz="0" w:space="0" w:color="auto"/>
        <w:left w:val="none" w:sz="0" w:space="0" w:color="auto"/>
        <w:bottom w:val="none" w:sz="0" w:space="0" w:color="auto"/>
        <w:right w:val="none" w:sz="0" w:space="0" w:color="auto"/>
      </w:divBdr>
    </w:div>
    <w:div w:id="187619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ncourts.gov/lsa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ncourts.gov/lsac" TargetMode="External"/><Relationship Id="rId5" Type="http://schemas.openxmlformats.org/officeDocument/2006/relationships/footnotes" Target="footnotes.xml"/><Relationship Id="rId10" Type="http://schemas.openxmlformats.org/officeDocument/2006/relationships/hyperlink" Target="https://www.councilofnonprofits.org/tools-resources/evaluation-and-measurement-of-outcomes" TargetMode="External"/><Relationship Id="rId4" Type="http://schemas.openxmlformats.org/officeDocument/2006/relationships/webSettings" Target="webSettings.xml"/><Relationship Id="rId9" Type="http://schemas.openxmlformats.org/officeDocument/2006/relationships/hyperlink" Target="https://www.minnesotanonprofits.org/resources-tools/resources-by-topic/leadership-govern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1148</Words>
  <Characters>6929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LEGAL SERVICES ADVISORY COMMITTEE</vt:lpstr>
    </vt:vector>
  </TitlesOfParts>
  <Company>COA</Company>
  <LinksUpToDate>false</LinksUpToDate>
  <CharactersWithSpaces>8061</CharactersWithSpaces>
  <SharedDoc>false</SharedDoc>
  <HLinks>
    <vt:vector size="12" baseType="variant">
      <vt:variant>
        <vt:i4>5898316</vt:i4>
      </vt:variant>
      <vt:variant>
        <vt:i4>3</vt:i4>
      </vt:variant>
      <vt:variant>
        <vt:i4>0</vt:i4>
      </vt:variant>
      <vt:variant>
        <vt:i4>5</vt:i4>
      </vt:variant>
      <vt:variant>
        <vt:lpwstr>http://www.mncourts.gov/lsac</vt:lpwstr>
      </vt:variant>
      <vt:variant>
        <vt:lpwstr/>
      </vt:variant>
      <vt:variant>
        <vt:i4>5898316</vt:i4>
      </vt:variant>
      <vt:variant>
        <vt:i4>0</vt:i4>
      </vt:variant>
      <vt:variant>
        <vt:i4>0</vt:i4>
      </vt:variant>
      <vt:variant>
        <vt:i4>5</vt:i4>
      </vt:variant>
      <vt:variant>
        <vt:lpwstr>http://www.mncourts.gov/lsac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ADVISORY COMMITTEE</dc:title>
  <dc:subject/>
  <dc:creator>FordK</dc:creator>
  <cp:keywords/>
  <cp:lastModifiedBy>Beaudet, Susan</cp:lastModifiedBy>
  <cp:revision>2</cp:revision>
  <cp:lastPrinted>2015-01-22T15:26:00Z</cp:lastPrinted>
  <dcterms:created xsi:type="dcterms:W3CDTF">2021-12-20T17:19:00Z</dcterms:created>
  <dcterms:modified xsi:type="dcterms:W3CDTF">2021-12-20T17:19:00Z</dcterms:modified>
</cp:coreProperties>
</file>