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C33DE" w14:textId="525AFB8F" w:rsidR="00B727EF" w:rsidRPr="003E39A8" w:rsidRDefault="000A524E" w:rsidP="00EE0BEC">
      <w:pPr>
        <w:jc w:val="center"/>
        <w:rPr>
          <w:b/>
          <w:sz w:val="28"/>
          <w:szCs w:val="28"/>
        </w:rPr>
      </w:pPr>
      <w:r w:rsidRPr="003E39A8">
        <w:rPr>
          <w:b/>
          <w:sz w:val="28"/>
          <w:szCs w:val="28"/>
        </w:rPr>
        <w:t xml:space="preserve">Strategic </w:t>
      </w:r>
      <w:r w:rsidR="002800E2">
        <w:rPr>
          <w:b/>
          <w:sz w:val="28"/>
          <w:szCs w:val="28"/>
        </w:rPr>
        <w:t xml:space="preserve">Vision for </w:t>
      </w:r>
      <w:r w:rsidR="00CD1C74">
        <w:rPr>
          <w:b/>
          <w:sz w:val="28"/>
          <w:szCs w:val="28"/>
        </w:rPr>
        <w:t xml:space="preserve">Access to </w:t>
      </w:r>
      <w:r w:rsidR="002800E2">
        <w:rPr>
          <w:b/>
          <w:sz w:val="28"/>
          <w:szCs w:val="28"/>
        </w:rPr>
        <w:t>Civil Legal Aid in Minnesota:  The Next Generation</w:t>
      </w:r>
    </w:p>
    <w:p w14:paraId="2198C7DA" w14:textId="511E1EFA" w:rsidR="002451E1" w:rsidRDefault="00EE0BEC" w:rsidP="00F10E20">
      <w:r>
        <w:t xml:space="preserve">Minnesota civil legal aid services have grown and evolved for more than a century, resulting in a </w:t>
      </w:r>
      <w:r w:rsidR="00EB66FE">
        <w:t>strong network of programs serving</w:t>
      </w:r>
      <w:r>
        <w:t xml:space="preserve"> every county in the state across a wide range of case types.  </w:t>
      </w:r>
      <w:r w:rsidR="00BA3566">
        <w:t>We are now moving towards a</w:t>
      </w:r>
      <w:r w:rsidR="00F10E20">
        <w:t xml:space="preserve"> vision for the next generation of access to justice</w:t>
      </w:r>
      <w:r w:rsidR="00BA3566">
        <w:t xml:space="preserve">, which will </w:t>
      </w:r>
      <w:r w:rsidR="00F10E20">
        <w:t>increase collaboration across programs to create a more coordinated and client-friendly system</w:t>
      </w:r>
      <w:r w:rsidR="00B727F5">
        <w:t xml:space="preserve"> statewide</w:t>
      </w:r>
      <w:r w:rsidR="00F10E20">
        <w:t xml:space="preserve">.  </w:t>
      </w:r>
    </w:p>
    <w:p w14:paraId="00D6A37D" w14:textId="6C1FA833" w:rsidR="00F10E20" w:rsidRPr="00C07A89" w:rsidRDefault="005A550E" w:rsidP="00F10E20">
      <w:r>
        <w:t>In the coming years</w:t>
      </w:r>
      <w:r w:rsidR="002451E1">
        <w:t>, civil legal aid</w:t>
      </w:r>
      <w:r w:rsidR="00F10E20">
        <w:t xml:space="preserve"> will have centralized phone and online intake, ensuring </w:t>
      </w:r>
      <w:r w:rsidR="00B727F5">
        <w:t xml:space="preserve">that </w:t>
      </w:r>
      <w:r w:rsidR="00F10E20">
        <w:t>low-income Minnesotans seeking l</w:t>
      </w:r>
      <w:r w:rsidR="00963C23">
        <w:t>egal assistance</w:t>
      </w:r>
      <w:r w:rsidR="00B727F5">
        <w:t xml:space="preserve"> are connected to the best available service</w:t>
      </w:r>
      <w:r w:rsidR="00963C23">
        <w:t xml:space="preserve">.  This centralized system will include </w:t>
      </w:r>
      <w:r w:rsidR="00F10E20">
        <w:t xml:space="preserve">coordinated marketing and outreach so that our community partners only have to know one referral point to access an array of staff and pro bono services.  This approach will maximize </w:t>
      </w:r>
      <w:r w:rsidR="00963C23">
        <w:t>our ability to collect client needs</w:t>
      </w:r>
      <w:r w:rsidR="00F10E20">
        <w:t xml:space="preserve"> data</w:t>
      </w:r>
      <w:r w:rsidR="00963C23">
        <w:t xml:space="preserve"> a</w:t>
      </w:r>
      <w:r w:rsidR="00F10E20">
        <w:t xml:space="preserve">nd to increase resources </w:t>
      </w:r>
      <w:r w:rsidR="00186C0E">
        <w:t xml:space="preserve">to </w:t>
      </w:r>
      <w:r w:rsidR="00963C23">
        <w:t>serve more people</w:t>
      </w:r>
      <w:r w:rsidR="00F10E20">
        <w:t>.</w:t>
      </w:r>
    </w:p>
    <w:p w14:paraId="73206B86" w14:textId="578D5866" w:rsidR="00EB66FE" w:rsidRPr="000A524E" w:rsidRDefault="00EB66FE" w:rsidP="000A524E">
      <w:pPr>
        <w:rPr>
          <w:b/>
          <w:sz w:val="28"/>
          <w:szCs w:val="28"/>
        </w:rPr>
      </w:pPr>
      <w:r w:rsidRPr="000A524E">
        <w:rPr>
          <w:b/>
          <w:sz w:val="28"/>
          <w:szCs w:val="28"/>
        </w:rPr>
        <w:t xml:space="preserve">Goals of the </w:t>
      </w:r>
      <w:r w:rsidR="000A524E" w:rsidRPr="000A524E">
        <w:rPr>
          <w:b/>
          <w:sz w:val="28"/>
          <w:szCs w:val="28"/>
        </w:rPr>
        <w:t xml:space="preserve">Strategic </w:t>
      </w:r>
      <w:r w:rsidR="00CD1C74">
        <w:rPr>
          <w:b/>
          <w:sz w:val="28"/>
          <w:szCs w:val="28"/>
        </w:rPr>
        <w:t>Vision</w:t>
      </w:r>
    </w:p>
    <w:p w14:paraId="3DC9DAB5" w14:textId="77777777" w:rsidR="000A524E" w:rsidRDefault="000A524E" w:rsidP="00EE0BEC">
      <w:r>
        <w:rPr>
          <w:noProof/>
        </w:rPr>
        <w:drawing>
          <wp:inline distT="0" distB="0" distL="0" distR="0" wp14:anchorId="009F2017" wp14:editId="739ED2F1">
            <wp:extent cx="5943600" cy="2040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8224E" w14:textId="77777777" w:rsidR="000A524E" w:rsidRDefault="000A524E" w:rsidP="00EE0BEC">
      <w:pPr>
        <w:rPr>
          <w:b/>
          <w:sz w:val="28"/>
          <w:szCs w:val="28"/>
        </w:rPr>
      </w:pPr>
      <w:r w:rsidRPr="000A524E">
        <w:rPr>
          <w:b/>
          <w:sz w:val="28"/>
          <w:szCs w:val="28"/>
        </w:rPr>
        <w:t>Implementation</w:t>
      </w:r>
      <w:r w:rsidR="003E39A8">
        <w:rPr>
          <w:b/>
          <w:sz w:val="28"/>
          <w:szCs w:val="28"/>
        </w:rPr>
        <w:t xml:space="preserve"> Projects</w:t>
      </w:r>
    </w:p>
    <w:p w14:paraId="15A8C7EE" w14:textId="6812B867" w:rsidR="003E39A8" w:rsidRPr="002B0506" w:rsidRDefault="003E39A8" w:rsidP="003E39A8">
      <w:pPr>
        <w:rPr>
          <w:rFonts w:ascii="Calibri" w:hAnsi="Calibri" w:cs="Calibri"/>
        </w:rPr>
      </w:pPr>
      <w:r w:rsidRPr="002B0506">
        <w:rPr>
          <w:rFonts w:ascii="Calibri" w:hAnsi="Calibri" w:cs="Calibri"/>
          <w:u w:val="single"/>
        </w:rPr>
        <w:t>LOON</w:t>
      </w:r>
      <w:r w:rsidRPr="002B0506">
        <w:rPr>
          <w:rFonts w:ascii="Calibri" w:hAnsi="Calibri" w:cs="Calibri"/>
        </w:rPr>
        <w:t xml:space="preserve">: </w:t>
      </w:r>
      <w:r w:rsidR="005A550E" w:rsidRPr="002B0506">
        <w:rPr>
          <w:rFonts w:ascii="Calibri" w:hAnsi="Calibri" w:cs="Calibri"/>
        </w:rPr>
        <w:t>The first success we have had is</w:t>
      </w:r>
      <w:r w:rsidR="000A524E" w:rsidRPr="002B0506">
        <w:rPr>
          <w:rFonts w:ascii="Calibri" w:hAnsi="Calibri" w:cs="Calibri"/>
        </w:rPr>
        <w:t xml:space="preserve"> t</w:t>
      </w:r>
      <w:r w:rsidR="00FB756C" w:rsidRPr="002B0506">
        <w:rPr>
          <w:rFonts w:ascii="Calibri" w:hAnsi="Calibri" w:cs="Calibri"/>
        </w:rPr>
        <w:t xml:space="preserve">he </w:t>
      </w:r>
      <w:r w:rsidR="005A550E" w:rsidRPr="002B0506">
        <w:rPr>
          <w:rFonts w:ascii="Calibri" w:hAnsi="Calibri" w:cs="Calibri"/>
        </w:rPr>
        <w:t xml:space="preserve">launch of </w:t>
      </w:r>
      <w:r w:rsidR="00FB756C" w:rsidRPr="002B0506">
        <w:rPr>
          <w:rFonts w:ascii="Calibri" w:hAnsi="Calibri" w:cs="Calibri"/>
        </w:rPr>
        <w:t xml:space="preserve">Legal Organizations Online Network </w:t>
      </w:r>
      <w:r w:rsidR="000A524E" w:rsidRPr="002B0506">
        <w:rPr>
          <w:rFonts w:ascii="Calibri" w:hAnsi="Calibri" w:cs="Calibri"/>
        </w:rPr>
        <w:t xml:space="preserve">(LOON), the backbone of the coordinated infrastructure system.  </w:t>
      </w:r>
      <w:r w:rsidR="005A550E" w:rsidRPr="002B0506">
        <w:rPr>
          <w:rFonts w:ascii="Calibri" w:hAnsi="Calibri" w:cs="Calibri"/>
        </w:rPr>
        <w:t xml:space="preserve">LOON is a database of </w:t>
      </w:r>
      <w:r w:rsidR="000A524E" w:rsidRPr="002B0506">
        <w:rPr>
          <w:rFonts w:ascii="Calibri" w:hAnsi="Calibri" w:cs="Calibri"/>
        </w:rPr>
        <w:t>informati</w:t>
      </w:r>
      <w:r w:rsidRPr="002B0506">
        <w:rPr>
          <w:rFonts w:ascii="Calibri" w:hAnsi="Calibri" w:cs="Calibri"/>
        </w:rPr>
        <w:t xml:space="preserve">on </w:t>
      </w:r>
      <w:r w:rsidR="005A550E" w:rsidRPr="002B0506">
        <w:rPr>
          <w:rFonts w:ascii="Calibri" w:hAnsi="Calibri" w:cs="Calibri"/>
        </w:rPr>
        <w:t xml:space="preserve">updated in real-time </w:t>
      </w:r>
      <w:r w:rsidRPr="002B0506">
        <w:rPr>
          <w:rFonts w:ascii="Calibri" w:hAnsi="Calibri" w:cs="Calibri"/>
        </w:rPr>
        <w:t xml:space="preserve">by </w:t>
      </w:r>
      <w:r w:rsidR="00517698" w:rsidRPr="002B0506">
        <w:rPr>
          <w:rFonts w:ascii="Calibri" w:hAnsi="Calibri" w:cs="Calibri"/>
        </w:rPr>
        <w:t xml:space="preserve">more than </w:t>
      </w:r>
      <w:r w:rsidR="005A550E" w:rsidRPr="002B0506">
        <w:rPr>
          <w:rFonts w:ascii="Calibri" w:hAnsi="Calibri" w:cs="Calibri"/>
        </w:rPr>
        <w:t xml:space="preserve">20 </w:t>
      </w:r>
      <w:r w:rsidRPr="002B0506">
        <w:rPr>
          <w:rFonts w:ascii="Calibri" w:hAnsi="Calibri" w:cs="Calibri"/>
        </w:rPr>
        <w:t xml:space="preserve">legal aid </w:t>
      </w:r>
      <w:r w:rsidR="000A524E" w:rsidRPr="002B0506">
        <w:rPr>
          <w:rFonts w:ascii="Calibri" w:hAnsi="Calibri" w:cs="Calibri"/>
        </w:rPr>
        <w:t>organizations</w:t>
      </w:r>
      <w:r w:rsidRPr="002B0506">
        <w:rPr>
          <w:rFonts w:ascii="Calibri" w:hAnsi="Calibri" w:cs="Calibri"/>
        </w:rPr>
        <w:t xml:space="preserve">.  This tool </w:t>
      </w:r>
      <w:r w:rsidR="005A550E" w:rsidRPr="002B0506">
        <w:rPr>
          <w:rFonts w:ascii="Calibri" w:hAnsi="Calibri" w:cs="Calibri"/>
        </w:rPr>
        <w:t>helps</w:t>
      </w:r>
      <w:r w:rsidR="000A524E" w:rsidRPr="002B0506">
        <w:rPr>
          <w:rFonts w:ascii="Calibri" w:hAnsi="Calibri" w:cs="Calibri"/>
        </w:rPr>
        <w:t xml:space="preserve"> intake staff make better </w:t>
      </w:r>
      <w:r w:rsidR="00584C96">
        <w:rPr>
          <w:rFonts w:ascii="Calibri" w:hAnsi="Calibri" w:cs="Calibri"/>
        </w:rPr>
        <w:t xml:space="preserve">referrals of clients they are unable to </w:t>
      </w:r>
      <w:r w:rsidR="000A524E" w:rsidRPr="002B0506">
        <w:rPr>
          <w:rFonts w:ascii="Calibri" w:hAnsi="Calibri" w:cs="Calibri"/>
        </w:rPr>
        <w:t>serve to a</w:t>
      </w:r>
      <w:r w:rsidRPr="002B0506">
        <w:rPr>
          <w:rFonts w:ascii="Calibri" w:hAnsi="Calibri" w:cs="Calibri"/>
        </w:rPr>
        <w:t xml:space="preserve"> </w:t>
      </w:r>
      <w:r w:rsidR="000A524E" w:rsidRPr="002B0506">
        <w:rPr>
          <w:rFonts w:ascii="Calibri" w:hAnsi="Calibri" w:cs="Calibri"/>
        </w:rPr>
        <w:t>provider who can</w:t>
      </w:r>
      <w:r w:rsidR="00B727F5" w:rsidRPr="002B0506">
        <w:rPr>
          <w:rFonts w:ascii="Calibri" w:hAnsi="Calibri" w:cs="Calibri"/>
        </w:rPr>
        <w:t xml:space="preserve"> or be confident saying “no” if services are not available</w:t>
      </w:r>
      <w:r w:rsidR="000A524E" w:rsidRPr="002B0506">
        <w:rPr>
          <w:rFonts w:ascii="Calibri" w:hAnsi="Calibri" w:cs="Calibri"/>
        </w:rPr>
        <w:t>.</w:t>
      </w:r>
      <w:r w:rsidR="00A903F1" w:rsidRPr="002B0506">
        <w:rPr>
          <w:rFonts w:ascii="Calibri" w:hAnsi="Calibri" w:cs="Calibri"/>
        </w:rPr>
        <w:t xml:space="preserve">  </w:t>
      </w:r>
    </w:p>
    <w:p w14:paraId="1E932C6B" w14:textId="12B537A2" w:rsidR="002B0506" w:rsidRDefault="00FB756C" w:rsidP="002B0506">
      <w:pPr>
        <w:spacing w:after="0"/>
        <w:rPr>
          <w:rFonts w:ascii="Calibri" w:hAnsi="Calibri" w:cs="Calibri"/>
        </w:rPr>
      </w:pPr>
      <w:r w:rsidRPr="002B0506">
        <w:rPr>
          <w:rFonts w:ascii="Calibri" w:hAnsi="Calibri" w:cs="Calibri"/>
          <w:u w:val="single"/>
        </w:rPr>
        <w:t>LawHelpMN</w:t>
      </w:r>
      <w:r w:rsidR="003E39A8" w:rsidRPr="002B0506">
        <w:rPr>
          <w:rFonts w:ascii="Calibri" w:hAnsi="Calibri" w:cs="Calibri"/>
        </w:rPr>
        <w:t>:</w:t>
      </w:r>
      <w:r w:rsidRPr="002B0506">
        <w:rPr>
          <w:rFonts w:ascii="Calibri" w:hAnsi="Calibri" w:cs="Calibri"/>
        </w:rPr>
        <w:t xml:space="preserve"> </w:t>
      </w:r>
      <w:r w:rsidR="002B0506">
        <w:rPr>
          <w:rFonts w:ascii="Calibri" w:hAnsi="Calibri" w:cs="Calibri"/>
        </w:rPr>
        <w:t xml:space="preserve">The website </w:t>
      </w:r>
      <w:hyperlink r:id="rId9" w:history="1">
        <w:r w:rsidR="002B0506" w:rsidRPr="00AC65D3">
          <w:rPr>
            <w:rStyle w:val="Hyperlink"/>
            <w:rFonts w:ascii="Calibri" w:hAnsi="Calibri" w:cs="Calibri"/>
          </w:rPr>
          <w:t>www.lawhelpmn.org</w:t>
        </w:r>
      </w:hyperlink>
      <w:r w:rsidR="002B0506">
        <w:rPr>
          <w:rFonts w:ascii="Calibri" w:hAnsi="Calibri" w:cs="Calibri"/>
        </w:rPr>
        <w:t xml:space="preserve"> has been redesigned to be make it easier to find information and is on a new platform that allows for regular improvements based on user feedback</w:t>
      </w:r>
      <w:r w:rsidR="001D3AF0" w:rsidRPr="002B0506">
        <w:rPr>
          <w:rFonts w:ascii="Calibri" w:hAnsi="Calibri" w:cs="Calibri"/>
        </w:rPr>
        <w:t xml:space="preserve">.  </w:t>
      </w:r>
      <w:r w:rsidR="002B0506" w:rsidRPr="002B0506">
        <w:rPr>
          <w:rFonts w:ascii="Calibri" w:hAnsi="Calibri" w:cs="Calibri"/>
        </w:rPr>
        <w:t>It has two primary components:</w:t>
      </w:r>
    </w:p>
    <w:p w14:paraId="1A2CD186" w14:textId="77777777" w:rsidR="003E1F34" w:rsidRPr="002B0506" w:rsidRDefault="003E1F34" w:rsidP="002B0506">
      <w:pPr>
        <w:spacing w:after="0"/>
        <w:rPr>
          <w:rFonts w:ascii="Calibri" w:hAnsi="Calibri" w:cs="Calibri"/>
        </w:rPr>
      </w:pPr>
    </w:p>
    <w:p w14:paraId="2F5B0BF3" w14:textId="77777777" w:rsidR="002B0506" w:rsidRDefault="002B0506" w:rsidP="002B0506">
      <w:pPr>
        <w:pStyle w:val="ListParagraph"/>
        <w:rPr>
          <w:rFonts w:ascii="Calibri" w:hAnsi="Calibri" w:cs="Calibri"/>
          <w:sz w:val="22"/>
          <w:szCs w:val="22"/>
        </w:rPr>
      </w:pPr>
      <w:r w:rsidRPr="002B0506">
        <w:rPr>
          <w:rFonts w:ascii="Calibri" w:hAnsi="Calibri" w:cs="Calibri"/>
          <w:b/>
          <w:sz w:val="22"/>
          <w:szCs w:val="22"/>
        </w:rPr>
        <w:t>LawHelpMN Guide</w:t>
      </w:r>
      <w:r w:rsidRPr="002B0506">
        <w:rPr>
          <w:rFonts w:ascii="Calibri" w:hAnsi="Calibri" w:cs="Calibri"/>
          <w:sz w:val="22"/>
          <w:szCs w:val="22"/>
        </w:rPr>
        <w:t xml:space="preserve"> - </w:t>
      </w:r>
      <w:r w:rsidR="001D3AF0" w:rsidRPr="002B0506">
        <w:rPr>
          <w:rFonts w:ascii="Calibri" w:hAnsi="Calibri" w:cs="Calibri"/>
          <w:sz w:val="22"/>
          <w:szCs w:val="22"/>
        </w:rPr>
        <w:t xml:space="preserve">This guided interview is designed for people with legal problems and trusted intermediaries who often help families in crisis.  By answering a few questions, relevant legal information is presented to the user before asking if they would like to go further and see what additional services </w:t>
      </w:r>
      <w:r w:rsidR="00CD1C74" w:rsidRPr="002B0506">
        <w:rPr>
          <w:rFonts w:ascii="Calibri" w:hAnsi="Calibri" w:cs="Calibri"/>
          <w:sz w:val="22"/>
          <w:szCs w:val="22"/>
        </w:rPr>
        <w:t xml:space="preserve">may </w:t>
      </w:r>
      <w:r w:rsidR="001D3AF0" w:rsidRPr="002B0506">
        <w:rPr>
          <w:rFonts w:ascii="Calibri" w:hAnsi="Calibri" w:cs="Calibri"/>
          <w:sz w:val="22"/>
          <w:szCs w:val="22"/>
        </w:rPr>
        <w:t xml:space="preserve">be available.  </w:t>
      </w:r>
    </w:p>
    <w:p w14:paraId="446EBD19" w14:textId="77777777" w:rsidR="003E1F34" w:rsidRPr="002B0506" w:rsidRDefault="003E1F34" w:rsidP="002B0506">
      <w:pPr>
        <w:pStyle w:val="ListParagraph"/>
        <w:rPr>
          <w:rFonts w:ascii="Calibri" w:hAnsi="Calibri" w:cs="Calibri"/>
          <w:sz w:val="22"/>
          <w:szCs w:val="22"/>
        </w:rPr>
      </w:pPr>
    </w:p>
    <w:p w14:paraId="070AB4C7" w14:textId="322180DE" w:rsidR="000A524E" w:rsidRPr="002B0506" w:rsidRDefault="002B0506" w:rsidP="002B0506">
      <w:pPr>
        <w:pStyle w:val="ListParagraph"/>
        <w:rPr>
          <w:rFonts w:ascii="Calibri" w:hAnsi="Calibri" w:cs="Calibri"/>
          <w:sz w:val="22"/>
          <w:szCs w:val="22"/>
        </w:rPr>
      </w:pPr>
      <w:r w:rsidRPr="002B0506">
        <w:rPr>
          <w:rFonts w:ascii="Calibri" w:hAnsi="Calibri" w:cs="Calibri"/>
          <w:b/>
          <w:sz w:val="22"/>
          <w:szCs w:val="22"/>
        </w:rPr>
        <w:t xml:space="preserve">Provider and Clinic Directory </w:t>
      </w:r>
      <w:r w:rsidRPr="002B0506">
        <w:rPr>
          <w:rFonts w:ascii="Calibri" w:hAnsi="Calibri" w:cs="Calibri"/>
          <w:sz w:val="22"/>
          <w:szCs w:val="22"/>
        </w:rPr>
        <w:t xml:space="preserve">- </w:t>
      </w:r>
      <w:r w:rsidR="001D3AF0" w:rsidRPr="002B0506">
        <w:rPr>
          <w:rFonts w:ascii="Calibri" w:hAnsi="Calibri" w:cs="Calibri"/>
          <w:sz w:val="22"/>
          <w:szCs w:val="22"/>
        </w:rPr>
        <w:t>The website also includes a pro</w:t>
      </w:r>
      <w:r w:rsidR="00A903F1" w:rsidRPr="002B0506">
        <w:rPr>
          <w:rFonts w:ascii="Calibri" w:hAnsi="Calibri" w:cs="Calibri"/>
          <w:sz w:val="22"/>
          <w:szCs w:val="22"/>
        </w:rPr>
        <w:t>vider and clinic directory</w:t>
      </w:r>
      <w:r w:rsidR="001D3AF0" w:rsidRPr="002B0506">
        <w:rPr>
          <w:rFonts w:ascii="Calibri" w:hAnsi="Calibri" w:cs="Calibri"/>
          <w:sz w:val="22"/>
          <w:szCs w:val="22"/>
        </w:rPr>
        <w:t xml:space="preserve"> designed for users more familiar with the legal system, including pro bono attorneys making referrals at clinics</w:t>
      </w:r>
      <w:r w:rsidR="00A903F1" w:rsidRPr="002B0506">
        <w:rPr>
          <w:rFonts w:ascii="Calibri" w:hAnsi="Calibri" w:cs="Calibri"/>
          <w:sz w:val="22"/>
          <w:szCs w:val="22"/>
        </w:rPr>
        <w:t xml:space="preserve">, </w:t>
      </w:r>
      <w:r w:rsidR="001D3AF0" w:rsidRPr="002B0506">
        <w:rPr>
          <w:rFonts w:ascii="Calibri" w:hAnsi="Calibri" w:cs="Calibri"/>
          <w:sz w:val="22"/>
          <w:szCs w:val="22"/>
        </w:rPr>
        <w:t xml:space="preserve">to quickly filter and find the best available resources for clients.  </w:t>
      </w:r>
    </w:p>
    <w:p w14:paraId="4A59A109" w14:textId="77777777" w:rsidR="002B0506" w:rsidRDefault="002B0506" w:rsidP="002B0506">
      <w:pPr>
        <w:pStyle w:val="ListParagraph"/>
      </w:pPr>
    </w:p>
    <w:p w14:paraId="40C5FC6D" w14:textId="7C8B8B2F" w:rsidR="00A903F1" w:rsidRPr="000A524E" w:rsidRDefault="00A903F1" w:rsidP="00A903F1">
      <w:proofErr w:type="spellStart"/>
      <w:r w:rsidRPr="00A903F1">
        <w:rPr>
          <w:u w:val="single"/>
        </w:rPr>
        <w:lastRenderedPageBreak/>
        <w:t>LegalServer</w:t>
      </w:r>
      <w:proofErr w:type="spellEnd"/>
      <w:r w:rsidRPr="00A903F1">
        <w:rPr>
          <w:u w:val="single"/>
        </w:rPr>
        <w:t xml:space="preserve"> Case Management System</w:t>
      </w:r>
      <w:r>
        <w:t>:</w:t>
      </w:r>
      <w:r w:rsidR="00186C0E">
        <w:t xml:space="preserve">  The Legal Services Advisory Committee (LSAC) is funding </w:t>
      </w:r>
      <w:r w:rsidR="00DF2DA0">
        <w:t xml:space="preserve">a transition to the </w:t>
      </w:r>
      <w:proofErr w:type="spellStart"/>
      <w:r w:rsidR="00DF2DA0">
        <w:t>LegalServer</w:t>
      </w:r>
      <w:proofErr w:type="spellEnd"/>
      <w:r w:rsidR="00DF2DA0">
        <w:t xml:space="preserve"> case management system for many of the civil legal aid programs statewide</w:t>
      </w:r>
      <w:r w:rsidR="00B727F5">
        <w:t xml:space="preserve"> starting in 2019</w:t>
      </w:r>
      <w:r w:rsidR="00DF2DA0">
        <w:t>.  Being on the same case management system is critical to more efficient intake</w:t>
      </w:r>
      <w:r w:rsidR="00E14A06">
        <w:t xml:space="preserve"> and referral</w:t>
      </w:r>
      <w:r w:rsidR="00CD1C74">
        <w:t xml:space="preserve"> processes</w:t>
      </w:r>
      <w:r w:rsidR="00DF2DA0">
        <w:t xml:space="preserve"> across programs</w:t>
      </w:r>
      <w:r w:rsidR="00E14A06">
        <w:t xml:space="preserve">, as well as </w:t>
      </w:r>
      <w:r w:rsidR="00DF2DA0">
        <w:t xml:space="preserve">to share training and other infrastructure resources.  </w:t>
      </w:r>
    </w:p>
    <w:p w14:paraId="137406D6" w14:textId="50DBC385" w:rsidR="00DF2DA0" w:rsidRPr="00DF2DA0" w:rsidRDefault="002B6026" w:rsidP="003E1F34">
      <w:pPr>
        <w:tabs>
          <w:tab w:val="num" w:pos="720"/>
        </w:tabs>
        <w:spacing w:after="0"/>
      </w:pPr>
      <w:r>
        <w:rPr>
          <w:u w:val="single"/>
        </w:rPr>
        <w:t>Toll Free</w:t>
      </w:r>
      <w:r w:rsidR="00A903F1">
        <w:rPr>
          <w:u w:val="single"/>
        </w:rPr>
        <w:t xml:space="preserve"> Number Centralized Phone System</w:t>
      </w:r>
      <w:r w:rsidR="00A903F1">
        <w:t>:</w:t>
      </w:r>
      <w:r w:rsidR="00DF2DA0">
        <w:t xml:space="preserve">  </w:t>
      </w:r>
      <w:r w:rsidR="00DF2DA0" w:rsidRPr="00DF2DA0">
        <w:t xml:space="preserve">The most complex </w:t>
      </w:r>
      <w:r w:rsidR="00DF2DA0">
        <w:t xml:space="preserve">portion of the strategic plan is the </w:t>
      </w:r>
      <w:r w:rsidR="0098787A">
        <w:t>creation of</w:t>
      </w:r>
      <w:r w:rsidR="003E1F34">
        <w:t xml:space="preserve"> a single point of entry for</w:t>
      </w:r>
      <w:r w:rsidR="00DF2DA0">
        <w:t xml:space="preserve"> </w:t>
      </w:r>
      <w:r w:rsidR="003E1F34">
        <w:t>phone intake</w:t>
      </w:r>
      <w:r w:rsidR="00DF2DA0">
        <w:t xml:space="preserve"> statewide</w:t>
      </w:r>
      <w:r w:rsidR="00DF2DA0" w:rsidRPr="00DF2DA0">
        <w:t>.</w:t>
      </w:r>
      <w:r w:rsidR="00DF2DA0">
        <w:t xml:space="preserve">  </w:t>
      </w:r>
      <w:r>
        <w:t xml:space="preserve">Starting in 2022, prospective clients can call 1-877-MY-MN-LAW and after entering their zip code they will be routed to a centralized intake hub.  </w:t>
      </w:r>
      <w:r w:rsidR="0098787A">
        <w:t xml:space="preserve"> These hubs will be regionalized for core poverty law services.</w:t>
      </w:r>
      <w:r w:rsidR="00963C23" w:rsidRPr="00963C23">
        <w:rPr>
          <w:rStyle w:val="FootnoteReference"/>
        </w:rPr>
        <w:t xml:space="preserve"> </w:t>
      </w:r>
      <w:r w:rsidR="00963C23">
        <w:rPr>
          <w:rStyle w:val="FootnoteReference"/>
        </w:rPr>
        <w:footnoteReference w:id="1"/>
      </w:r>
      <w:r w:rsidR="00FB7E5B">
        <w:t xml:space="preserve">  </w:t>
      </w:r>
      <w:r w:rsidR="00AE5FE1" w:rsidRPr="00DF2DA0">
        <w:t>Callers will be scree</w:t>
      </w:r>
      <w:r w:rsidR="00FB7E5B">
        <w:t>ned for eligibility and transferred</w:t>
      </w:r>
      <w:r w:rsidR="00DF2DA0" w:rsidRPr="00DF2DA0">
        <w:t xml:space="preserve"> to a </w:t>
      </w:r>
      <w:r w:rsidR="00FB7E5B">
        <w:t xml:space="preserve">civil legal aid provider for service based on geography and case priorities.  </w:t>
      </w:r>
      <w:r w:rsidR="00584C96">
        <w:t>W</w:t>
      </w:r>
      <w:r w:rsidR="003E1F34">
        <w:t xml:space="preserve">e will have </w:t>
      </w:r>
      <w:r w:rsidR="00584C96">
        <w:t xml:space="preserve">comprehensive </w:t>
      </w:r>
      <w:r w:rsidR="003E1F34">
        <w:t>statewide data abo</w:t>
      </w:r>
      <w:r w:rsidR="00584C96">
        <w:t>ut the requests for service and who is turned away in order to have a data-driven approach to meeting client needs.</w:t>
      </w:r>
    </w:p>
    <w:p w14:paraId="486ABF1E" w14:textId="77777777" w:rsidR="003E1F34" w:rsidRDefault="003E1F34" w:rsidP="003E1F34">
      <w:pPr>
        <w:spacing w:after="0"/>
        <w:rPr>
          <w:b/>
          <w:sz w:val="28"/>
          <w:szCs w:val="28"/>
        </w:rPr>
      </w:pPr>
    </w:p>
    <w:p w14:paraId="5745B6EF" w14:textId="62D09D16" w:rsidR="000A524E" w:rsidRDefault="00A903F1" w:rsidP="00EE0BEC">
      <w:pPr>
        <w:rPr>
          <w:b/>
          <w:sz w:val="28"/>
          <w:szCs w:val="28"/>
        </w:rPr>
      </w:pPr>
      <w:r w:rsidRPr="00A903F1">
        <w:rPr>
          <w:b/>
          <w:sz w:val="28"/>
          <w:szCs w:val="28"/>
        </w:rPr>
        <w:t>Timeline</w:t>
      </w:r>
    </w:p>
    <w:p w14:paraId="2887E669" w14:textId="77777777" w:rsidR="00A903F1" w:rsidRDefault="00A903F1" w:rsidP="00EE0BEC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F0F576C" wp14:editId="1CFA12BD">
            <wp:extent cx="5931362" cy="3007478"/>
            <wp:effectExtent l="0" t="0" r="0" b="254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6606" cy="30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55321" w14:textId="3EC330F9" w:rsidR="00F10E20" w:rsidRPr="00F10E20" w:rsidRDefault="00E463B7" w:rsidP="00F10E20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Additional Background</w:t>
      </w:r>
    </w:p>
    <w:p w14:paraId="2069A9DB" w14:textId="5898B9A9" w:rsidR="00186C0E" w:rsidRPr="00186C0E" w:rsidRDefault="00186C0E" w:rsidP="00F10E20">
      <w:r>
        <w:t xml:space="preserve">More information is available on the LSAC website at </w:t>
      </w:r>
      <w:hyperlink r:id="rId11" w:history="1">
        <w:r w:rsidRPr="002F4319">
          <w:rPr>
            <w:rStyle w:val="Hyperlink"/>
          </w:rPr>
          <w:t>www.mncourts.gov/lsac</w:t>
        </w:r>
      </w:hyperlink>
      <w:r>
        <w:t xml:space="preserve">. </w:t>
      </w:r>
    </w:p>
    <w:p w14:paraId="3A792E22" w14:textId="42465CFA" w:rsidR="00F10E20" w:rsidRDefault="002B6026" w:rsidP="00F10E20">
      <w:hyperlink r:id="rId12" w:history="1">
        <w:r w:rsidR="00F10E20" w:rsidRPr="00186C0E">
          <w:rPr>
            <w:rStyle w:val="Hyperlink"/>
          </w:rPr>
          <w:t>Minnesota Intake Study</w:t>
        </w:r>
      </w:hyperlink>
      <w:r w:rsidR="00F10E20">
        <w:t xml:space="preserve"> –</w:t>
      </w:r>
      <w:r w:rsidR="00186C0E">
        <w:t xml:space="preserve"> </w:t>
      </w:r>
      <w:r w:rsidR="00F10E20">
        <w:t>LSAC contracted with a national legal aid expert to review the current intake systems and to make recommendations.</w:t>
      </w:r>
    </w:p>
    <w:p w14:paraId="4641D664" w14:textId="678597AE" w:rsidR="00C07A89" w:rsidRPr="003B3B5C" w:rsidRDefault="002B6026" w:rsidP="00F10E20">
      <w:pPr>
        <w:rPr>
          <w:u w:val="single"/>
        </w:rPr>
      </w:pPr>
      <w:hyperlink r:id="rId13" w:history="1">
        <w:r w:rsidR="00963C23" w:rsidRPr="00B727F5">
          <w:rPr>
            <w:rStyle w:val="Hyperlink"/>
          </w:rPr>
          <w:t>Report to the Minnesota Supreme Court</w:t>
        </w:r>
      </w:hyperlink>
      <w:r w:rsidR="00963C23">
        <w:t xml:space="preserve"> –</w:t>
      </w:r>
      <w:r w:rsidR="002451E1">
        <w:t xml:space="preserve"> Civil legal aid program leadership’s </w:t>
      </w:r>
      <w:r w:rsidR="00963C23">
        <w:t>strategic vision</w:t>
      </w:r>
      <w:r w:rsidR="00312E93">
        <w:t xml:space="preserve"> proposal</w:t>
      </w:r>
      <w:r w:rsidR="002451E1">
        <w:t>, which was</w:t>
      </w:r>
      <w:r w:rsidR="00963C23">
        <w:t xml:space="preserve"> approved by the court in January 2019.</w:t>
      </w:r>
    </w:p>
    <w:sectPr w:rsidR="00C07A89" w:rsidRPr="003B3B5C" w:rsidSect="00F10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71778" w14:textId="77777777" w:rsidR="00D45A35" w:rsidRDefault="00D45A35" w:rsidP="003E39A8">
      <w:pPr>
        <w:spacing w:after="0" w:line="240" w:lineRule="auto"/>
      </w:pPr>
      <w:r>
        <w:separator/>
      </w:r>
    </w:p>
  </w:endnote>
  <w:endnote w:type="continuationSeparator" w:id="0">
    <w:p w14:paraId="1F715608" w14:textId="77777777" w:rsidR="00D45A35" w:rsidRDefault="00D45A35" w:rsidP="003E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6AB7C" w14:textId="77777777" w:rsidR="00D45A35" w:rsidRDefault="00D45A35" w:rsidP="003E39A8">
      <w:pPr>
        <w:spacing w:after="0" w:line="240" w:lineRule="auto"/>
      </w:pPr>
      <w:r>
        <w:separator/>
      </w:r>
    </w:p>
  </w:footnote>
  <w:footnote w:type="continuationSeparator" w:id="0">
    <w:p w14:paraId="02BB5186" w14:textId="77777777" w:rsidR="00D45A35" w:rsidRDefault="00D45A35" w:rsidP="003E39A8">
      <w:pPr>
        <w:spacing w:after="0" w:line="240" w:lineRule="auto"/>
      </w:pPr>
      <w:r>
        <w:continuationSeparator/>
      </w:r>
    </w:p>
  </w:footnote>
  <w:footnote w:id="1">
    <w:p w14:paraId="785AF0DC" w14:textId="4DEFE1E7" w:rsidR="00963C23" w:rsidRDefault="00963C23" w:rsidP="00963C23">
      <w:pPr>
        <w:pStyle w:val="FootnoteText"/>
      </w:pPr>
      <w:r>
        <w:rPr>
          <w:rStyle w:val="FootnoteReference"/>
        </w:rPr>
        <w:footnoteRef/>
      </w:r>
      <w:r>
        <w:t xml:space="preserve"> Programs participating in the first phase of the statewide </w:t>
      </w:r>
      <w:r w:rsidR="002B6026">
        <w:t xml:space="preserve">centralized intake </w:t>
      </w:r>
      <w:r>
        <w:t>number i</w:t>
      </w:r>
      <w:r w:rsidR="003E1F34">
        <w:t xml:space="preserve">nclude </w:t>
      </w:r>
      <w:r>
        <w:t>Central Minnesota Legal Services, Judicare of Anoka County, Legal Aid Service of Northeastern Minnesota, Legal Assistance of Dakota County, Legal Assistance of Olmsted County, Legal Services of Northwest Minnesota, Mid-Minnesota Legal Aid, Southern Minnesota Regional Legal Services, Volunteer Attorney Program, and Volunteer Lawyers Network.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4BFE"/>
    <w:multiLevelType w:val="hybridMultilevel"/>
    <w:tmpl w:val="37F05840"/>
    <w:lvl w:ilvl="0" w:tplc="F168A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E9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4B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2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86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323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49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02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04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862BB"/>
    <w:multiLevelType w:val="hybridMultilevel"/>
    <w:tmpl w:val="D088940C"/>
    <w:lvl w:ilvl="0" w:tplc="FAE48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27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68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09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4D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1A7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65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09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961D5D"/>
    <w:multiLevelType w:val="hybridMultilevel"/>
    <w:tmpl w:val="4EFED288"/>
    <w:lvl w:ilvl="0" w:tplc="5B1C9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45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AC6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A7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823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EC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8A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05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2B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E2079DB"/>
    <w:multiLevelType w:val="hybridMultilevel"/>
    <w:tmpl w:val="2B92F77A"/>
    <w:lvl w:ilvl="0" w:tplc="9B266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8B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C7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E1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80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A2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67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C4B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AE9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7A10020"/>
    <w:multiLevelType w:val="hybridMultilevel"/>
    <w:tmpl w:val="F000D084"/>
    <w:lvl w:ilvl="0" w:tplc="0554C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0A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4D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C5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62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EC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109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61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825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CE756FD"/>
    <w:multiLevelType w:val="hybridMultilevel"/>
    <w:tmpl w:val="E4369E20"/>
    <w:lvl w:ilvl="0" w:tplc="ACE6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CB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65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07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44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21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6E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C88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AD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334E9D"/>
    <w:multiLevelType w:val="hybridMultilevel"/>
    <w:tmpl w:val="35C090BE"/>
    <w:lvl w:ilvl="0" w:tplc="4CB65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1EB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AC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AE0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A0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24A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E0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A0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C8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A5E42B5"/>
    <w:multiLevelType w:val="hybridMultilevel"/>
    <w:tmpl w:val="20941930"/>
    <w:lvl w:ilvl="0" w:tplc="CFC654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BEC"/>
    <w:rsid w:val="000A524E"/>
    <w:rsid w:val="00140120"/>
    <w:rsid w:val="00186C0E"/>
    <w:rsid w:val="001D3AF0"/>
    <w:rsid w:val="002451E1"/>
    <w:rsid w:val="002800E2"/>
    <w:rsid w:val="002B0506"/>
    <w:rsid w:val="002B6026"/>
    <w:rsid w:val="0030469B"/>
    <w:rsid w:val="00312E93"/>
    <w:rsid w:val="00370772"/>
    <w:rsid w:val="003B3B5C"/>
    <w:rsid w:val="003B7404"/>
    <w:rsid w:val="003E1F34"/>
    <w:rsid w:val="003E39A8"/>
    <w:rsid w:val="00427449"/>
    <w:rsid w:val="0047297E"/>
    <w:rsid w:val="00477CCE"/>
    <w:rsid w:val="00517698"/>
    <w:rsid w:val="00584C96"/>
    <w:rsid w:val="005A550E"/>
    <w:rsid w:val="005A678E"/>
    <w:rsid w:val="005F1F0E"/>
    <w:rsid w:val="007B3F4F"/>
    <w:rsid w:val="00963C23"/>
    <w:rsid w:val="0097670E"/>
    <w:rsid w:val="0098787A"/>
    <w:rsid w:val="00A903F1"/>
    <w:rsid w:val="00A913F4"/>
    <w:rsid w:val="00AE5FE1"/>
    <w:rsid w:val="00B727F5"/>
    <w:rsid w:val="00BA0742"/>
    <w:rsid w:val="00BA3566"/>
    <w:rsid w:val="00C07A89"/>
    <w:rsid w:val="00C924BF"/>
    <w:rsid w:val="00CA218C"/>
    <w:rsid w:val="00CD1C74"/>
    <w:rsid w:val="00D36B28"/>
    <w:rsid w:val="00D45A35"/>
    <w:rsid w:val="00D62BFC"/>
    <w:rsid w:val="00D63EF1"/>
    <w:rsid w:val="00DA29E0"/>
    <w:rsid w:val="00DF2DA0"/>
    <w:rsid w:val="00E14A06"/>
    <w:rsid w:val="00E463B7"/>
    <w:rsid w:val="00EB66FE"/>
    <w:rsid w:val="00EE0BEC"/>
    <w:rsid w:val="00F10E20"/>
    <w:rsid w:val="00F173EA"/>
    <w:rsid w:val="00F676E4"/>
    <w:rsid w:val="00FB756C"/>
    <w:rsid w:val="00F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B5C26"/>
  <w15:chartTrackingRefBased/>
  <w15:docId w15:val="{E053BBF3-35AC-4AE3-BEB9-6FE62670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A5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2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2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24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A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39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9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39A8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2D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7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8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8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9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ncourts.gov/mncourtsgov/media/scao_library/CIWG-Plan-Memo-Fin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ncourts.gov/mncourtsgov/media/scao_library/documents/Minnesota-intake-study-Final-Report-6-14-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ncourts.gov/lsa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lawhelpm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BB9C-C044-44B7-BED0-21C28B40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Gernander, Bridget</dc:creator>
  <cp:keywords/>
  <dc:description/>
  <cp:lastModifiedBy>Gernander, Bridget</cp:lastModifiedBy>
  <cp:revision>2</cp:revision>
  <dcterms:created xsi:type="dcterms:W3CDTF">2021-11-30T20:29:00Z</dcterms:created>
  <dcterms:modified xsi:type="dcterms:W3CDTF">2021-11-30T20:29:00Z</dcterms:modified>
</cp:coreProperties>
</file>